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F1A68CA" w14:textId="77777777" w:rsidR="00C5204F" w:rsidRDefault="00C5204F" w:rsidP="00C5204F">
      <w:pPr>
        <w:pBdr>
          <w:bottom w:val="single" w:sz="6" w:space="1" w:color="000000"/>
        </w:pBdr>
        <w:spacing w:after="160"/>
      </w:pPr>
    </w:p>
    <w:p w14:paraId="60C4BF32" w14:textId="125F7D51" w:rsidR="713BEB58" w:rsidRPr="00C73BE4" w:rsidRDefault="00C73BE4" w:rsidP="00C73BE4">
      <w:pPr>
        <w:pStyle w:val="Ttulo2"/>
      </w:pPr>
      <w:r w:rsidRPr="00C73BE4">
        <w:t>Curso</w:t>
      </w:r>
    </w:p>
    <w:p w14:paraId="67812191" w14:textId="5A9F3BFA" w:rsidR="00DE2EB6" w:rsidRPr="00C227C4" w:rsidRDefault="00C227C4" w:rsidP="00C227C4">
      <w:pPr>
        <w:pStyle w:val="Ttulo1"/>
        <w:rPr>
          <w:lang w:val="es-ES_tradnl"/>
        </w:rPr>
      </w:pPr>
      <w:r w:rsidRPr="00C227C4">
        <w:rPr>
          <w:lang w:val="es-ES_tradnl"/>
        </w:rPr>
        <w:t>G</w:t>
      </w:r>
      <w:r w:rsidR="00047335">
        <w:rPr>
          <w:lang w:val="es-ES_tradnl"/>
        </w:rPr>
        <w:t>estión fiscal de las entidades sin fines lucrativos</w:t>
      </w:r>
    </w:p>
    <w:tbl>
      <w:tblPr>
        <w:tblStyle w:val="Cuadrculadetablaclara"/>
        <w:tblW w:w="9923" w:type="dxa"/>
        <w:tblInd w:w="-3" w:type="dxa"/>
        <w:tblLook w:val="0620" w:firstRow="1" w:lastRow="0" w:firstColumn="0" w:lastColumn="0" w:noHBand="1" w:noVBand="1"/>
      </w:tblPr>
      <w:tblGrid>
        <w:gridCol w:w="2694"/>
        <w:gridCol w:w="7229"/>
      </w:tblGrid>
      <w:tr w:rsidR="00DE2EB6" w14:paraId="0D58B845" w14:textId="77777777" w:rsidTr="00D37075">
        <w:trPr>
          <w:trHeight w:val="454"/>
        </w:trPr>
        <w:tc>
          <w:tcPr>
            <w:tcW w:w="2694" w:type="dxa"/>
            <w:vAlign w:val="center"/>
          </w:tcPr>
          <w:p w14:paraId="5EF5BE9A" w14:textId="16B5A538" w:rsidR="00DE2EB6" w:rsidRPr="00BE1E1C" w:rsidRDefault="00DE2EB6" w:rsidP="00D37075">
            <w:pPr>
              <w:spacing w:line="276" w:lineRule="auto"/>
            </w:pPr>
            <w:r w:rsidRPr="00BE1E1C">
              <w:t>Lugar:</w:t>
            </w:r>
          </w:p>
        </w:tc>
        <w:tc>
          <w:tcPr>
            <w:tcW w:w="7229" w:type="dxa"/>
            <w:vAlign w:val="center"/>
          </w:tcPr>
          <w:p w14:paraId="149E05FF" w14:textId="56BA4F0B" w:rsidR="00DE2EB6" w:rsidRDefault="00DE2EB6" w:rsidP="00D37075">
            <w:pPr>
              <w:spacing w:line="276" w:lineRule="auto"/>
              <w:rPr>
                <w:rFonts w:ascii="Arial Narrow" w:eastAsia="Arial Narrow" w:hAnsi="Arial Narrow" w:cs="Arial Narrow"/>
                <w:b/>
                <w:bCs/>
                <w:sz w:val="24"/>
                <w:szCs w:val="24"/>
              </w:rPr>
            </w:pPr>
            <w:r>
              <w:t xml:space="preserve">Fundación CAI </w:t>
            </w:r>
            <w:r>
              <w:br/>
              <w:t>Avda. Alcalde Sainz de Varanda nº 1-3. 50009 Zaragoza - 976 355 000</w:t>
            </w:r>
          </w:p>
        </w:tc>
      </w:tr>
      <w:tr w:rsidR="00DE2EB6" w14:paraId="02AAA377" w14:textId="77777777" w:rsidTr="00D37075">
        <w:trPr>
          <w:trHeight w:val="454"/>
        </w:trPr>
        <w:tc>
          <w:tcPr>
            <w:tcW w:w="2694" w:type="dxa"/>
            <w:vAlign w:val="center"/>
          </w:tcPr>
          <w:p w14:paraId="1FA1DE20" w14:textId="62CA0B07" w:rsidR="00DE2EB6" w:rsidRDefault="00DE2EB6" w:rsidP="00D37075">
            <w:pPr>
              <w:spacing w:line="276" w:lineRule="auto"/>
              <w:rPr>
                <w:rFonts w:ascii="Arial Narrow" w:eastAsia="Arial Narrow" w:hAnsi="Arial Narrow" w:cs="Arial Narrow"/>
                <w:b/>
                <w:bCs/>
                <w:sz w:val="24"/>
                <w:szCs w:val="24"/>
              </w:rPr>
            </w:pPr>
            <w:r>
              <w:t>Fechas:</w:t>
            </w:r>
          </w:p>
        </w:tc>
        <w:tc>
          <w:tcPr>
            <w:tcW w:w="7229" w:type="dxa"/>
            <w:vAlign w:val="center"/>
          </w:tcPr>
          <w:p w14:paraId="1FD327CD" w14:textId="29CCD816" w:rsidR="00DE2EB6" w:rsidRDefault="00047335" w:rsidP="00D37075">
            <w:pPr>
              <w:spacing w:line="276" w:lineRule="auto"/>
              <w:rPr>
                <w:rFonts w:ascii="Arial Narrow" w:eastAsia="Arial Narrow" w:hAnsi="Arial Narrow" w:cs="Arial Narrow"/>
                <w:b/>
                <w:bCs/>
                <w:sz w:val="24"/>
                <w:szCs w:val="24"/>
              </w:rPr>
            </w:pPr>
            <w:r>
              <w:rPr>
                <w:rFonts w:ascii="Arial Narrow" w:eastAsia="Arial Narrow" w:hAnsi="Arial Narrow" w:cs="Arial Narrow"/>
                <w:b/>
                <w:bCs/>
                <w:sz w:val="24"/>
                <w:szCs w:val="24"/>
              </w:rPr>
              <w:t>11/11/2026 y 18/11/2026</w:t>
            </w:r>
          </w:p>
        </w:tc>
      </w:tr>
      <w:tr w:rsidR="00DE2EB6" w14:paraId="1E816F37" w14:textId="77777777" w:rsidTr="00D37075">
        <w:trPr>
          <w:trHeight w:val="454"/>
        </w:trPr>
        <w:tc>
          <w:tcPr>
            <w:tcW w:w="2694" w:type="dxa"/>
            <w:vAlign w:val="center"/>
          </w:tcPr>
          <w:p w14:paraId="674DC45A" w14:textId="2D32822F" w:rsidR="00DE2EB6" w:rsidRPr="616E2A0B" w:rsidRDefault="00DE2EB6" w:rsidP="00D37075">
            <w:pPr>
              <w:spacing w:line="276" w:lineRule="auto"/>
            </w:pPr>
            <w:r>
              <w:t>Horario:</w:t>
            </w:r>
          </w:p>
        </w:tc>
        <w:tc>
          <w:tcPr>
            <w:tcW w:w="7229" w:type="dxa"/>
            <w:vAlign w:val="center"/>
          </w:tcPr>
          <w:p w14:paraId="2D728C69" w14:textId="762530CA" w:rsidR="00DE2EB6" w:rsidRPr="616E2A0B" w:rsidRDefault="00C227C4" w:rsidP="00047335">
            <w:pPr>
              <w:spacing w:line="276" w:lineRule="auto"/>
            </w:pPr>
            <w:r>
              <w:t>D</w:t>
            </w:r>
            <w:r w:rsidRPr="00C227C4">
              <w:t xml:space="preserve">e </w:t>
            </w:r>
            <w:r w:rsidR="00EA6BE2">
              <w:t>15.30 a 19</w:t>
            </w:r>
            <w:r w:rsidR="00047335">
              <w:t>.30</w:t>
            </w:r>
            <w:r w:rsidRPr="00C227C4">
              <w:t xml:space="preserve"> h (</w:t>
            </w:r>
            <w:r w:rsidR="00047335">
              <w:t>8</w:t>
            </w:r>
            <w:r w:rsidRPr="00C227C4">
              <w:t xml:space="preserve"> h</w:t>
            </w:r>
            <w:bookmarkStart w:id="1" w:name="_GoBack"/>
            <w:bookmarkEnd w:id="1"/>
            <w:r w:rsidRPr="00C227C4">
              <w:t>oras lectivas)</w:t>
            </w:r>
          </w:p>
        </w:tc>
      </w:tr>
      <w:tr w:rsidR="00DE2EB6" w14:paraId="5B038BAF" w14:textId="77777777" w:rsidTr="00D37075">
        <w:trPr>
          <w:trHeight w:val="454"/>
        </w:trPr>
        <w:tc>
          <w:tcPr>
            <w:tcW w:w="2694" w:type="dxa"/>
            <w:vAlign w:val="center"/>
          </w:tcPr>
          <w:p w14:paraId="137759D3" w14:textId="18265D88" w:rsidR="00DE2EB6" w:rsidRDefault="00DE2EB6" w:rsidP="00D37075">
            <w:pPr>
              <w:spacing w:line="276" w:lineRule="auto"/>
            </w:pPr>
            <w:r>
              <w:t>Importe:</w:t>
            </w:r>
          </w:p>
        </w:tc>
        <w:tc>
          <w:tcPr>
            <w:tcW w:w="7229" w:type="dxa"/>
            <w:vAlign w:val="center"/>
          </w:tcPr>
          <w:p w14:paraId="64BDA8D9" w14:textId="189387CE" w:rsidR="00DE2EB6" w:rsidRDefault="00047335" w:rsidP="00D37075">
            <w:pPr>
              <w:spacing w:line="276" w:lineRule="auto"/>
            </w:pPr>
            <w:r>
              <w:rPr>
                <w:lang w:val="es-ES_tradnl"/>
              </w:rPr>
              <w:t>210</w:t>
            </w:r>
            <w:r w:rsidR="00C227C4" w:rsidRPr="00C227C4">
              <w:rPr>
                <w:lang w:val="es-ES_tradnl"/>
              </w:rPr>
              <w:t xml:space="preserve"> €</w:t>
            </w:r>
          </w:p>
        </w:tc>
      </w:tr>
      <w:tr w:rsidR="00DE2EB6" w14:paraId="078E1A22" w14:textId="77777777" w:rsidTr="00D37075">
        <w:trPr>
          <w:trHeight w:val="454"/>
        </w:trPr>
        <w:tc>
          <w:tcPr>
            <w:tcW w:w="2694" w:type="dxa"/>
            <w:vAlign w:val="center"/>
          </w:tcPr>
          <w:p w14:paraId="1B3DCE59" w14:textId="146C6204" w:rsidR="00DE2EB6" w:rsidRDefault="00DE2EB6" w:rsidP="00D37075">
            <w:pPr>
              <w:spacing w:line="276" w:lineRule="auto"/>
            </w:pPr>
            <w:r>
              <w:t>Importe desempleados:</w:t>
            </w:r>
          </w:p>
        </w:tc>
        <w:tc>
          <w:tcPr>
            <w:tcW w:w="7229" w:type="dxa"/>
            <w:vAlign w:val="center"/>
          </w:tcPr>
          <w:p w14:paraId="2D21DFA9" w14:textId="62498A06" w:rsidR="00DE2EB6" w:rsidRDefault="00047335" w:rsidP="00D37075">
            <w:pPr>
              <w:spacing w:line="276" w:lineRule="auto"/>
            </w:pPr>
            <w:r>
              <w:t>63</w:t>
            </w:r>
            <w:r w:rsidR="00DE2EB6">
              <w:t xml:space="preserve"> €</w:t>
            </w:r>
          </w:p>
        </w:tc>
      </w:tr>
      <w:tr w:rsidR="00DE2EB6" w14:paraId="6EC726FF" w14:textId="77777777" w:rsidTr="00D37075">
        <w:trPr>
          <w:trHeight w:val="454"/>
        </w:trPr>
        <w:tc>
          <w:tcPr>
            <w:tcW w:w="2694" w:type="dxa"/>
            <w:vAlign w:val="center"/>
          </w:tcPr>
          <w:p w14:paraId="2D010B0D" w14:textId="3C5B008D" w:rsidR="00DE2EB6" w:rsidRDefault="00DE2EB6" w:rsidP="00D37075">
            <w:pPr>
              <w:spacing w:line="276" w:lineRule="auto"/>
            </w:pPr>
            <w:r>
              <w:t xml:space="preserve">Plazo de inscripción: </w:t>
            </w:r>
          </w:p>
        </w:tc>
        <w:tc>
          <w:tcPr>
            <w:tcW w:w="7229" w:type="dxa"/>
            <w:vAlign w:val="center"/>
          </w:tcPr>
          <w:p w14:paraId="1C11B7DC" w14:textId="69A103A7" w:rsidR="00DE2EB6" w:rsidRDefault="00047335" w:rsidP="00D37075">
            <w:pPr>
              <w:spacing w:line="276" w:lineRule="auto"/>
            </w:pPr>
            <w:r>
              <w:t>5/11/</w:t>
            </w:r>
            <w:r w:rsidR="00C227C4" w:rsidRPr="00C227C4">
              <w:t xml:space="preserve">/2026 </w:t>
            </w:r>
            <w:r w:rsidR="00BE1E1C">
              <w:t>(Hasta las 15 h)</w:t>
            </w:r>
          </w:p>
        </w:tc>
      </w:tr>
    </w:tbl>
    <w:p w14:paraId="6720984E" w14:textId="57DF3B0F" w:rsidR="00DE2EB6" w:rsidRPr="00845439" w:rsidRDefault="00BE1E1C" w:rsidP="00C73BE4">
      <w:pPr>
        <w:pStyle w:val="Ttulo3"/>
      </w:pPr>
      <w:r w:rsidRPr="00845439">
        <w:t>Presentación</w:t>
      </w:r>
    </w:p>
    <w:p w14:paraId="6D79EB21" w14:textId="77777777" w:rsidR="00047335" w:rsidRPr="00047335" w:rsidRDefault="00047335" w:rsidP="00047335">
      <w:pPr>
        <w:widowControl w:val="0"/>
        <w:pBdr>
          <w:bar w:val="none" w:sz="0" w:color="auto"/>
        </w:pBdr>
        <w:spacing w:after="0" w:line="240" w:lineRule="auto"/>
        <w:jc w:val="both"/>
        <w:rPr>
          <w:rFonts w:eastAsia="Times New Roman" w:cs="Arial"/>
          <w:snapToGrid w:val="0"/>
          <w:sz w:val="20"/>
          <w:szCs w:val="20"/>
          <w:lang w:val="es-ES_tradnl"/>
        </w:rPr>
      </w:pPr>
      <w:r w:rsidRPr="00047335">
        <w:rPr>
          <w:rFonts w:eastAsia="Times New Roman" w:cs="Arial"/>
          <w:snapToGrid w:val="0"/>
          <w:sz w:val="20"/>
          <w:szCs w:val="20"/>
          <w:lang w:val="es-ES_tradnl"/>
        </w:rPr>
        <w:t xml:space="preserve">El Tercer Sector se encuentra en un proceso profundo de transformación y profesionalización. Hoy en día, las asociaciones, fundaciones, </w:t>
      </w:r>
      <w:proofErr w:type="spellStart"/>
      <w:r w:rsidRPr="00047335">
        <w:rPr>
          <w:rFonts w:eastAsia="Times New Roman" w:cs="Arial"/>
          <w:snapToGrid w:val="0"/>
          <w:sz w:val="20"/>
          <w:szCs w:val="20"/>
          <w:lang w:val="es-ES_tradnl"/>
        </w:rPr>
        <w:t>ONGs</w:t>
      </w:r>
      <w:proofErr w:type="spellEnd"/>
      <w:r w:rsidRPr="00047335">
        <w:rPr>
          <w:rFonts w:eastAsia="Times New Roman" w:cs="Arial"/>
          <w:snapToGrid w:val="0"/>
          <w:sz w:val="20"/>
          <w:szCs w:val="20"/>
          <w:lang w:val="es-ES_tradnl"/>
        </w:rPr>
        <w:t xml:space="preserve"> y federaciones deportivas no solo gestionan proyectos de impacto social, sino que operan en un entorno normativo altamente complejo. Aunque su fin no sea el lucro económico, la diversificación de sus fuentes de ingresos -que combinan fondos públicos, inversión social, actividades mercantiles accesorias y nuevas formas de captación digital- exige una gestión financiera impecable. La transparencia, la rendición de cuentas y la gobernanza ya no son opcionales, sino pilares exigidos por la Administración, los donantes y la sociedad.</w:t>
      </w:r>
    </w:p>
    <w:p w14:paraId="621A6C08" w14:textId="77777777" w:rsidR="00047335" w:rsidRPr="00047335" w:rsidRDefault="00047335" w:rsidP="00047335">
      <w:pPr>
        <w:widowControl w:val="0"/>
        <w:pBdr>
          <w:bar w:val="none" w:sz="0" w:color="auto"/>
        </w:pBdr>
        <w:spacing w:after="0" w:line="240" w:lineRule="auto"/>
        <w:jc w:val="both"/>
        <w:rPr>
          <w:rFonts w:eastAsia="Times New Roman" w:cs="Arial"/>
          <w:snapToGrid w:val="0"/>
          <w:sz w:val="20"/>
          <w:szCs w:val="20"/>
          <w:lang w:val="es-ES_tradnl"/>
        </w:rPr>
      </w:pPr>
      <w:r w:rsidRPr="00047335">
        <w:rPr>
          <w:rFonts w:eastAsia="Times New Roman" w:cs="Arial"/>
          <w:snapToGrid w:val="0"/>
          <w:sz w:val="20"/>
          <w:szCs w:val="20"/>
          <w:lang w:val="es-ES_tradnl"/>
        </w:rPr>
        <w:t xml:space="preserve">La fiscalidad de estas entidades cuenta con un marco normativo muy específico, riguroso y sujeto a control administrativo. Conocer al detalle las exenciones, las obligaciones en el </w:t>
      </w:r>
      <w:r w:rsidRPr="00047335">
        <w:rPr>
          <w:rFonts w:eastAsia="Times New Roman" w:cs="Arial"/>
          <w:b/>
          <w:bCs/>
          <w:snapToGrid w:val="0"/>
          <w:sz w:val="20"/>
          <w:szCs w:val="20"/>
          <w:lang w:val="es-ES_tradnl"/>
        </w:rPr>
        <w:t>Impuesto sobre Sociedades</w:t>
      </w:r>
      <w:r w:rsidRPr="00047335">
        <w:rPr>
          <w:rFonts w:eastAsia="Times New Roman" w:cs="Arial"/>
          <w:snapToGrid w:val="0"/>
          <w:sz w:val="20"/>
          <w:szCs w:val="20"/>
          <w:lang w:val="es-ES_tradnl"/>
        </w:rPr>
        <w:t xml:space="preserve"> y la correcta gestión del </w:t>
      </w:r>
      <w:r w:rsidRPr="00047335">
        <w:rPr>
          <w:rFonts w:eastAsia="Times New Roman" w:cs="Arial"/>
          <w:b/>
          <w:bCs/>
          <w:snapToGrid w:val="0"/>
          <w:sz w:val="20"/>
          <w:szCs w:val="20"/>
          <w:lang w:val="es-ES_tradnl"/>
        </w:rPr>
        <w:t xml:space="preserve">IVA </w:t>
      </w:r>
      <w:r w:rsidRPr="00047335">
        <w:rPr>
          <w:rFonts w:eastAsia="Times New Roman" w:cs="Arial"/>
          <w:snapToGrid w:val="0"/>
          <w:sz w:val="20"/>
          <w:szCs w:val="20"/>
          <w:lang w:val="es-ES_tradnl"/>
        </w:rPr>
        <w:t>es crucial para evitar sanciones y optimizar los recursos.</w:t>
      </w:r>
    </w:p>
    <w:p w14:paraId="438F29F3" w14:textId="5A033C41" w:rsidR="00047335" w:rsidRPr="00047335" w:rsidRDefault="00047335" w:rsidP="00047335">
      <w:pPr>
        <w:widowControl w:val="0"/>
        <w:pBdr>
          <w:bar w:val="none" w:sz="0" w:color="auto"/>
        </w:pBdr>
        <w:spacing w:after="0" w:line="240" w:lineRule="auto"/>
        <w:jc w:val="both"/>
        <w:rPr>
          <w:rFonts w:eastAsia="Times New Roman" w:cs="Arial"/>
          <w:snapToGrid w:val="0"/>
          <w:sz w:val="20"/>
          <w:szCs w:val="20"/>
          <w:lang w:val="es-ES_tradnl"/>
        </w:rPr>
      </w:pPr>
      <w:r w:rsidRPr="00047335">
        <w:rPr>
          <w:rFonts w:eastAsia="Times New Roman" w:cs="Arial"/>
          <w:snapToGrid w:val="0"/>
          <w:sz w:val="20"/>
          <w:szCs w:val="20"/>
          <w:lang w:val="es-ES_tradnl"/>
        </w:rPr>
        <w:t xml:space="preserve">El curso ofrece un análisis eminentemente </w:t>
      </w:r>
      <w:r w:rsidRPr="00047335">
        <w:rPr>
          <w:rFonts w:eastAsia="Times New Roman" w:cs="Arial"/>
          <w:b/>
          <w:bCs/>
          <w:snapToGrid w:val="0"/>
          <w:sz w:val="20"/>
          <w:szCs w:val="20"/>
          <w:lang w:val="es-ES_tradnl"/>
        </w:rPr>
        <w:t>práctico</w:t>
      </w:r>
      <w:r w:rsidRPr="00047335">
        <w:rPr>
          <w:rFonts w:eastAsia="Times New Roman" w:cs="Arial"/>
          <w:snapToGrid w:val="0"/>
          <w:sz w:val="20"/>
          <w:szCs w:val="20"/>
          <w:lang w:val="es-ES_tradnl"/>
        </w:rPr>
        <w:t xml:space="preserve"> del régimen fiscal de las Entidades Sin Fines Lucrativos (ESFL). A través del estudio de </w:t>
      </w:r>
      <w:r w:rsidRPr="00047335">
        <w:rPr>
          <w:rFonts w:eastAsia="Times New Roman" w:cs="Arial"/>
          <w:b/>
          <w:bCs/>
          <w:snapToGrid w:val="0"/>
          <w:sz w:val="20"/>
          <w:szCs w:val="20"/>
          <w:lang w:val="es-ES_tradnl"/>
        </w:rPr>
        <w:t>casos reales</w:t>
      </w:r>
      <w:r w:rsidRPr="00047335">
        <w:rPr>
          <w:rFonts w:eastAsia="Times New Roman" w:cs="Arial"/>
          <w:snapToGrid w:val="0"/>
          <w:sz w:val="20"/>
          <w:szCs w:val="20"/>
          <w:lang w:val="es-ES_tradnl"/>
        </w:rPr>
        <w:t>, la doctrina administrativa más reciente y los criterios de inspección, los asistentes aprenderán a gestionar el día a día fiscal de su organización con total seguridad jurídica.</w:t>
      </w:r>
    </w:p>
    <w:p w14:paraId="5F34EED4" w14:textId="1B081E42" w:rsidR="00845439" w:rsidRDefault="00845439" w:rsidP="00C73BE4">
      <w:pPr>
        <w:pStyle w:val="Ttulo3"/>
      </w:pPr>
      <w:r>
        <w:t>Objetivos</w:t>
      </w:r>
      <w:r w:rsidR="00320102">
        <w:t>:</w:t>
      </w:r>
    </w:p>
    <w:p w14:paraId="2D58C511" w14:textId="6DECCC3B" w:rsidR="00047335" w:rsidRPr="00047335" w:rsidRDefault="00047335" w:rsidP="00047335">
      <w:pPr>
        <w:pStyle w:val="Prrafodelista"/>
        <w:widowControl w:val="0"/>
        <w:numPr>
          <w:ilvl w:val="0"/>
          <w:numId w:val="28"/>
        </w:numPr>
        <w:pBdr>
          <w:bar w:val="none" w:sz="0" w:color="auto"/>
        </w:pBdr>
        <w:spacing w:after="0" w:line="240" w:lineRule="auto"/>
        <w:jc w:val="both"/>
        <w:rPr>
          <w:rFonts w:eastAsia="Times New Roman" w:cs="Arial"/>
          <w:bCs/>
          <w:snapToGrid w:val="0"/>
          <w:sz w:val="20"/>
          <w:szCs w:val="20"/>
          <w:lang w:val="es-ES_tradnl"/>
        </w:rPr>
      </w:pPr>
      <w:r w:rsidRPr="00047335">
        <w:rPr>
          <w:rFonts w:eastAsia="Times New Roman" w:cs="Arial"/>
          <w:bCs/>
          <w:snapToGrid w:val="0"/>
          <w:sz w:val="20"/>
          <w:szCs w:val="20"/>
          <w:lang w:val="es-ES_tradnl"/>
        </w:rPr>
        <w:t>Conocer en profundidad las obligaciones fiscales específicas de las ESFL (especialmente fundaciones y asociaciones), asegurando el cumplimiento normativo integral y minimizando riesgos operativos.</w:t>
      </w:r>
    </w:p>
    <w:p w14:paraId="55524421" w14:textId="381C6020" w:rsidR="00047335" w:rsidRPr="00047335" w:rsidRDefault="00047335" w:rsidP="00047335">
      <w:pPr>
        <w:pStyle w:val="Prrafodelista"/>
        <w:widowControl w:val="0"/>
        <w:numPr>
          <w:ilvl w:val="0"/>
          <w:numId w:val="28"/>
        </w:numPr>
        <w:pBdr>
          <w:bar w:val="none" w:sz="0" w:color="auto"/>
        </w:pBdr>
        <w:spacing w:after="0" w:line="240" w:lineRule="auto"/>
        <w:jc w:val="both"/>
        <w:rPr>
          <w:rFonts w:eastAsia="Times New Roman" w:cs="Arial"/>
          <w:bCs/>
          <w:snapToGrid w:val="0"/>
          <w:sz w:val="20"/>
          <w:szCs w:val="20"/>
          <w:lang w:val="es-ES_tradnl"/>
        </w:rPr>
      </w:pPr>
      <w:r w:rsidRPr="00047335">
        <w:rPr>
          <w:rFonts w:eastAsia="Times New Roman" w:cs="Arial"/>
          <w:bCs/>
          <w:snapToGrid w:val="0"/>
          <w:sz w:val="20"/>
          <w:szCs w:val="20"/>
          <w:lang w:val="es-ES_tradnl"/>
        </w:rPr>
        <w:t>Analizar con un enfoque práctico la tributación en el Impuesto sobre Sociedades (IS), el IVA y el resto de tributos locales y autonómicos que afectan a las operativas de la entidad.</w:t>
      </w:r>
    </w:p>
    <w:p w14:paraId="6A66C363" w14:textId="7A3948F5" w:rsidR="00956A0C" w:rsidRPr="00047335" w:rsidRDefault="00047335" w:rsidP="00C73BE4">
      <w:pPr>
        <w:pStyle w:val="Prrafodelista"/>
        <w:widowControl w:val="0"/>
        <w:numPr>
          <w:ilvl w:val="0"/>
          <w:numId w:val="28"/>
        </w:numPr>
        <w:pBdr>
          <w:bar w:val="none" w:sz="0" w:color="auto"/>
        </w:pBdr>
        <w:spacing w:after="0" w:line="240" w:lineRule="auto"/>
        <w:jc w:val="both"/>
        <w:rPr>
          <w:rFonts w:eastAsia="Times New Roman" w:cs="Arial"/>
          <w:bCs/>
          <w:snapToGrid w:val="0"/>
          <w:sz w:val="20"/>
          <w:szCs w:val="20"/>
          <w:lang w:val="es-ES_tradnl"/>
        </w:rPr>
      </w:pPr>
      <w:r w:rsidRPr="00047335">
        <w:rPr>
          <w:rFonts w:eastAsia="Times New Roman" w:cs="Arial"/>
          <w:bCs/>
          <w:snapToGrid w:val="0"/>
          <w:sz w:val="20"/>
          <w:szCs w:val="20"/>
          <w:lang w:val="es-ES_tradnl"/>
        </w:rPr>
        <w:t>Conocer a fondo los incentivos fiscales para personas físicas y jurídicas, impulsando nuevas estrategias de captación de fondos, patrocinio corporativo y colaboraciones privadas.</w:t>
      </w:r>
    </w:p>
    <w:p w14:paraId="1C8136CA" w14:textId="188611D4" w:rsidR="00320102" w:rsidRDefault="00320102" w:rsidP="00C73BE4">
      <w:pPr>
        <w:pStyle w:val="Ttulo3"/>
      </w:pPr>
      <w:r>
        <w:t>Dirigido a:</w:t>
      </w:r>
    </w:p>
    <w:p w14:paraId="437F789B" w14:textId="67F6137E" w:rsidR="00F40D86" w:rsidRPr="00047335" w:rsidRDefault="00047335" w:rsidP="00047335">
      <w:pPr>
        <w:widowControl w:val="0"/>
        <w:pBdr>
          <w:bar w:val="none" w:sz="0" w:color="auto"/>
        </w:pBdr>
        <w:spacing w:after="0" w:line="240" w:lineRule="auto"/>
        <w:jc w:val="both"/>
        <w:rPr>
          <w:rFonts w:eastAsia="Times New Roman" w:cs="Arial"/>
          <w:snapToGrid w:val="0"/>
          <w:sz w:val="20"/>
          <w:szCs w:val="20"/>
        </w:rPr>
      </w:pPr>
      <w:r w:rsidRPr="00047335">
        <w:rPr>
          <w:rFonts w:eastAsia="Times New Roman" w:cs="Arial"/>
          <w:snapToGrid w:val="0"/>
          <w:sz w:val="20"/>
          <w:szCs w:val="20"/>
        </w:rPr>
        <w:t xml:space="preserve">Directivos responsables de los departamentos financiero, fiscal, administrativo y legal de fundaciones, asociaciones, </w:t>
      </w:r>
      <w:proofErr w:type="spellStart"/>
      <w:r w:rsidRPr="00047335">
        <w:rPr>
          <w:rFonts w:eastAsia="Times New Roman" w:cs="Arial"/>
          <w:snapToGrid w:val="0"/>
          <w:sz w:val="20"/>
          <w:szCs w:val="20"/>
        </w:rPr>
        <w:t>ONGs</w:t>
      </w:r>
      <w:proofErr w:type="spellEnd"/>
      <w:r w:rsidRPr="00047335">
        <w:rPr>
          <w:rFonts w:eastAsia="Times New Roman" w:cs="Arial"/>
          <w:snapToGrid w:val="0"/>
          <w:sz w:val="20"/>
          <w:szCs w:val="20"/>
        </w:rPr>
        <w:t xml:space="preserve"> y otras entidades sin ánimo de lucro. Asimismo, está orientado a asesores, consultores, gestores y profesionales del derecho o la economía que deseen especializarse o actualizar sus conocimientos en el marco tributario del Tercer Sector.</w:t>
      </w:r>
    </w:p>
    <w:p w14:paraId="25F2A3A4" w14:textId="7B402D1D" w:rsidR="00047335" w:rsidRPr="00047335" w:rsidRDefault="00320102" w:rsidP="00047335">
      <w:pPr>
        <w:pStyle w:val="Ttulo3"/>
      </w:pPr>
      <w:r>
        <w:lastRenderedPageBreak/>
        <w:t>Profesorado:</w:t>
      </w:r>
    </w:p>
    <w:p w14:paraId="60F9E2E7" w14:textId="680FABE4" w:rsidR="000123F0" w:rsidRPr="00047335" w:rsidRDefault="00047335" w:rsidP="00047335">
      <w:pPr>
        <w:widowControl w:val="0"/>
        <w:pBdr>
          <w:bar w:val="none" w:sz="0" w:color="auto"/>
        </w:pBdr>
        <w:spacing w:after="0" w:line="240" w:lineRule="auto"/>
        <w:rPr>
          <w:rFonts w:eastAsia="Times New Roman" w:cs="Arial"/>
          <w:snapToGrid w:val="0"/>
          <w:sz w:val="20"/>
          <w:szCs w:val="20"/>
        </w:rPr>
      </w:pPr>
      <w:r w:rsidRPr="00047335">
        <w:rPr>
          <w:rFonts w:eastAsia="Times New Roman" w:cs="Arial"/>
          <w:snapToGrid w:val="0"/>
          <w:sz w:val="20"/>
          <w:szCs w:val="20"/>
        </w:rPr>
        <w:t xml:space="preserve">D. </w:t>
      </w:r>
      <w:r w:rsidRPr="00047335">
        <w:rPr>
          <w:rFonts w:eastAsia="Times New Roman" w:cs="Arial"/>
          <w:b/>
          <w:snapToGrid w:val="0"/>
          <w:sz w:val="20"/>
          <w:szCs w:val="20"/>
        </w:rPr>
        <w:t>Ángel Ferreras Robles</w:t>
      </w:r>
      <w:r w:rsidRPr="00047335">
        <w:rPr>
          <w:rFonts w:eastAsia="Times New Roman" w:cs="Arial"/>
          <w:snapToGrid w:val="0"/>
          <w:sz w:val="20"/>
          <w:szCs w:val="20"/>
        </w:rPr>
        <w:t>.</w:t>
      </w:r>
      <w:r>
        <w:rPr>
          <w:rFonts w:eastAsia="Times New Roman" w:cs="Arial"/>
          <w:snapToGrid w:val="0"/>
          <w:sz w:val="20"/>
          <w:szCs w:val="20"/>
        </w:rPr>
        <w:t xml:space="preserve"> </w:t>
      </w:r>
      <w:r w:rsidRPr="00047335">
        <w:rPr>
          <w:rFonts w:eastAsia="Times New Roman" w:cs="Arial"/>
          <w:snapToGrid w:val="0"/>
          <w:sz w:val="20"/>
          <w:szCs w:val="20"/>
        </w:rPr>
        <w:t>Licenciado en Ciencias Económicas y Empresariales. Asesor financiero y fiscal. Más de 25 años de experiencia en formación y consultoría. Ponente habitual en diversas federaciones empresariales y escuelas de negocios.</w:t>
      </w:r>
    </w:p>
    <w:p w14:paraId="77D52000" w14:textId="2B7BF6E0" w:rsidR="000123F0" w:rsidRDefault="000123F0" w:rsidP="000123F0">
      <w:pPr>
        <w:pStyle w:val="Ttulo3"/>
      </w:pPr>
      <w:r>
        <w:t>Programa:</w:t>
      </w:r>
    </w:p>
    <w:p w14:paraId="45BD3A1F" w14:textId="51D45665" w:rsidR="00047335" w:rsidRPr="00047335" w:rsidRDefault="00047335" w:rsidP="00047335">
      <w:pPr>
        <w:pBdr>
          <w:bar w:val="none" w:sz="0" w:color="auto"/>
        </w:pBdr>
        <w:spacing w:after="0" w:line="240" w:lineRule="auto"/>
        <w:jc w:val="both"/>
        <w:rPr>
          <w:rFonts w:eastAsia="Times New Roman" w:cs="Arial"/>
          <w:b/>
          <w:sz w:val="20"/>
          <w:szCs w:val="20"/>
        </w:rPr>
      </w:pPr>
      <w:r w:rsidRPr="00047335">
        <w:rPr>
          <w:rFonts w:eastAsia="Times New Roman" w:cs="Arial"/>
          <w:b/>
          <w:sz w:val="20"/>
          <w:szCs w:val="20"/>
        </w:rPr>
        <w:t>1.- El Impuesto sobre Sociedades en el Régimen de Entidades Parcialmente Exentas.</w:t>
      </w:r>
    </w:p>
    <w:p w14:paraId="076B8378" w14:textId="77777777" w:rsidR="00047335" w:rsidRPr="00047335" w:rsidRDefault="00047335" w:rsidP="00047335">
      <w:pPr>
        <w:widowControl w:val="0"/>
        <w:numPr>
          <w:ilvl w:val="0"/>
          <w:numId w:val="29"/>
        </w:numPr>
        <w:pBdr>
          <w:bar w:val="none" w:sz="0" w:color="auto"/>
        </w:pBdr>
        <w:spacing w:after="0" w:line="240" w:lineRule="auto"/>
        <w:jc w:val="both"/>
        <w:rPr>
          <w:rFonts w:eastAsia="Times New Roman" w:cs="Arial"/>
          <w:bCs/>
          <w:sz w:val="20"/>
          <w:szCs w:val="20"/>
        </w:rPr>
      </w:pPr>
      <w:r w:rsidRPr="00047335">
        <w:rPr>
          <w:rFonts w:eastAsia="Times New Roman" w:cs="Arial"/>
          <w:bCs/>
          <w:sz w:val="20"/>
          <w:szCs w:val="20"/>
        </w:rPr>
        <w:t>Configuración y delimitación: Concepto de entidad parcialmente exenta según la LIS.</w:t>
      </w:r>
    </w:p>
    <w:p w14:paraId="429F3BA8" w14:textId="77777777" w:rsidR="00047335" w:rsidRPr="00047335" w:rsidRDefault="00047335" w:rsidP="00047335">
      <w:pPr>
        <w:widowControl w:val="0"/>
        <w:numPr>
          <w:ilvl w:val="0"/>
          <w:numId w:val="29"/>
        </w:numPr>
        <w:pBdr>
          <w:bar w:val="none" w:sz="0" w:color="auto"/>
        </w:pBdr>
        <w:spacing w:after="0" w:line="240" w:lineRule="auto"/>
        <w:jc w:val="both"/>
        <w:rPr>
          <w:rFonts w:eastAsia="Times New Roman" w:cs="Arial"/>
          <w:bCs/>
          <w:sz w:val="20"/>
          <w:szCs w:val="20"/>
        </w:rPr>
      </w:pPr>
      <w:r w:rsidRPr="00047335">
        <w:rPr>
          <w:rFonts w:eastAsia="Times New Roman" w:cs="Arial"/>
          <w:bCs/>
          <w:sz w:val="20"/>
          <w:szCs w:val="20"/>
        </w:rPr>
        <w:t>Tratamiento de rentas: Criterios de diferenciación entre rentas exentas y rentas no exentas.</w:t>
      </w:r>
    </w:p>
    <w:p w14:paraId="71C0642F" w14:textId="77777777" w:rsidR="00047335" w:rsidRPr="00047335" w:rsidRDefault="00047335" w:rsidP="00047335">
      <w:pPr>
        <w:widowControl w:val="0"/>
        <w:numPr>
          <w:ilvl w:val="0"/>
          <w:numId w:val="29"/>
        </w:numPr>
        <w:pBdr>
          <w:bar w:val="none" w:sz="0" w:color="auto"/>
        </w:pBdr>
        <w:spacing w:after="0" w:line="240" w:lineRule="auto"/>
        <w:jc w:val="both"/>
        <w:rPr>
          <w:rFonts w:eastAsia="Times New Roman" w:cs="Arial"/>
          <w:bCs/>
          <w:sz w:val="20"/>
          <w:szCs w:val="20"/>
        </w:rPr>
      </w:pPr>
      <w:r w:rsidRPr="00047335">
        <w:rPr>
          <w:rFonts w:eastAsia="Times New Roman" w:cs="Arial"/>
          <w:bCs/>
          <w:sz w:val="20"/>
          <w:szCs w:val="20"/>
        </w:rPr>
        <w:t>Cálculo y liquidación: Determinación de la base imponible, imputación de gastos comunes y específicos, tipos de gravamen aplicables y cálculo de la cuota.</w:t>
      </w:r>
    </w:p>
    <w:p w14:paraId="7CD05C33" w14:textId="77777777" w:rsidR="00047335" w:rsidRPr="00047335" w:rsidRDefault="00047335" w:rsidP="00047335">
      <w:pPr>
        <w:widowControl w:val="0"/>
        <w:numPr>
          <w:ilvl w:val="0"/>
          <w:numId w:val="29"/>
        </w:numPr>
        <w:pBdr>
          <w:bar w:val="none" w:sz="0" w:color="auto"/>
        </w:pBdr>
        <w:spacing w:after="0" w:line="240" w:lineRule="auto"/>
        <w:jc w:val="both"/>
        <w:rPr>
          <w:rFonts w:eastAsia="Times New Roman" w:cs="Arial"/>
          <w:bCs/>
          <w:sz w:val="20"/>
          <w:szCs w:val="20"/>
        </w:rPr>
      </w:pPr>
      <w:r w:rsidRPr="00047335">
        <w:rPr>
          <w:rFonts w:eastAsia="Times New Roman" w:cs="Arial"/>
          <w:bCs/>
          <w:sz w:val="20"/>
          <w:szCs w:val="20"/>
        </w:rPr>
        <w:t xml:space="preserve">Obligaciones formales: Supuestos de dispensa y obligación de declarar. </w:t>
      </w:r>
    </w:p>
    <w:p w14:paraId="606E1DEA" w14:textId="77777777" w:rsidR="00047335" w:rsidRPr="00047335" w:rsidRDefault="00047335" w:rsidP="00047335">
      <w:pPr>
        <w:pBdr>
          <w:bar w:val="none" w:sz="0" w:color="auto"/>
        </w:pBdr>
        <w:spacing w:after="0" w:line="240" w:lineRule="auto"/>
        <w:jc w:val="both"/>
        <w:rPr>
          <w:rFonts w:eastAsia="Times New Roman" w:cs="Arial"/>
          <w:bCs/>
          <w:sz w:val="20"/>
          <w:szCs w:val="20"/>
        </w:rPr>
      </w:pPr>
    </w:p>
    <w:p w14:paraId="418A6B53" w14:textId="47DF051F" w:rsidR="00047335" w:rsidRPr="00047335" w:rsidRDefault="00047335" w:rsidP="00047335">
      <w:pPr>
        <w:pBdr>
          <w:bar w:val="none" w:sz="0" w:color="auto"/>
        </w:pBdr>
        <w:spacing w:after="0" w:line="240" w:lineRule="auto"/>
        <w:jc w:val="both"/>
        <w:rPr>
          <w:rFonts w:eastAsia="Times New Roman" w:cs="Arial"/>
          <w:b/>
          <w:sz w:val="20"/>
          <w:szCs w:val="20"/>
        </w:rPr>
      </w:pPr>
      <w:r w:rsidRPr="00047335">
        <w:rPr>
          <w:rFonts w:eastAsia="Times New Roman" w:cs="Arial"/>
          <w:b/>
          <w:sz w:val="20"/>
          <w:szCs w:val="20"/>
        </w:rPr>
        <w:t>2.- El Régimen Fiscal Especial de la Ley 49/2002.</w:t>
      </w:r>
    </w:p>
    <w:p w14:paraId="764434FA" w14:textId="77777777" w:rsidR="00047335" w:rsidRPr="00047335" w:rsidRDefault="00047335" w:rsidP="00047335">
      <w:pPr>
        <w:widowControl w:val="0"/>
        <w:numPr>
          <w:ilvl w:val="0"/>
          <w:numId w:val="30"/>
        </w:numPr>
        <w:pBdr>
          <w:bar w:val="none" w:sz="0" w:color="auto"/>
        </w:pBdr>
        <w:spacing w:after="0" w:line="240" w:lineRule="auto"/>
        <w:jc w:val="both"/>
        <w:rPr>
          <w:rFonts w:eastAsia="Times New Roman" w:cs="Arial"/>
          <w:bCs/>
          <w:sz w:val="20"/>
          <w:szCs w:val="20"/>
        </w:rPr>
      </w:pPr>
      <w:r w:rsidRPr="00047335">
        <w:rPr>
          <w:rFonts w:eastAsia="Times New Roman" w:cs="Arial"/>
          <w:bCs/>
          <w:sz w:val="20"/>
          <w:szCs w:val="20"/>
        </w:rPr>
        <w:t>Ámbito de aplicación y requisitos estructurales: Condiciones necesarias para la opción y mantenimiento del régimen fiscal especial.</w:t>
      </w:r>
    </w:p>
    <w:p w14:paraId="31B15541" w14:textId="77777777" w:rsidR="00047335" w:rsidRPr="00047335" w:rsidRDefault="00047335" w:rsidP="00047335">
      <w:pPr>
        <w:widowControl w:val="0"/>
        <w:numPr>
          <w:ilvl w:val="0"/>
          <w:numId w:val="30"/>
        </w:numPr>
        <w:pBdr>
          <w:bar w:val="none" w:sz="0" w:color="auto"/>
        </w:pBdr>
        <w:spacing w:after="0" w:line="240" w:lineRule="auto"/>
        <w:jc w:val="both"/>
        <w:rPr>
          <w:rFonts w:eastAsia="Times New Roman" w:cs="Arial"/>
          <w:bCs/>
          <w:sz w:val="20"/>
          <w:szCs w:val="20"/>
        </w:rPr>
      </w:pPr>
      <w:r w:rsidRPr="00047335">
        <w:rPr>
          <w:rFonts w:eastAsia="Times New Roman" w:cs="Arial"/>
          <w:bCs/>
          <w:sz w:val="20"/>
          <w:szCs w:val="20"/>
        </w:rPr>
        <w:t>Delimitación de la exención: Análisis de las explotaciones económicas exentas frente a las no exentas.</w:t>
      </w:r>
    </w:p>
    <w:p w14:paraId="7B2070F5" w14:textId="77777777" w:rsidR="00047335" w:rsidRPr="00047335" w:rsidRDefault="00047335" w:rsidP="00047335">
      <w:pPr>
        <w:widowControl w:val="0"/>
        <w:numPr>
          <w:ilvl w:val="0"/>
          <w:numId w:val="30"/>
        </w:numPr>
        <w:pBdr>
          <w:bar w:val="none" w:sz="0" w:color="auto"/>
        </w:pBdr>
        <w:spacing w:after="0" w:line="240" w:lineRule="auto"/>
        <w:jc w:val="both"/>
        <w:rPr>
          <w:rFonts w:eastAsia="Times New Roman" w:cs="Arial"/>
          <w:bCs/>
          <w:sz w:val="20"/>
          <w:szCs w:val="20"/>
        </w:rPr>
      </w:pPr>
      <w:r w:rsidRPr="00047335">
        <w:rPr>
          <w:rFonts w:eastAsia="Times New Roman" w:cs="Arial"/>
          <w:bCs/>
          <w:sz w:val="20"/>
          <w:szCs w:val="20"/>
        </w:rPr>
        <w:t>Determinación de la base imponible y régimen especial de transmisiones patrimoniales o plusvalías en la entidad.</w:t>
      </w:r>
    </w:p>
    <w:p w14:paraId="269A58BF" w14:textId="77777777" w:rsidR="00047335" w:rsidRPr="00047335" w:rsidRDefault="00047335" w:rsidP="00047335">
      <w:pPr>
        <w:widowControl w:val="0"/>
        <w:numPr>
          <w:ilvl w:val="0"/>
          <w:numId w:val="30"/>
        </w:numPr>
        <w:pBdr>
          <w:bar w:val="none" w:sz="0" w:color="auto"/>
        </w:pBdr>
        <w:spacing w:after="0" w:line="240" w:lineRule="auto"/>
        <w:jc w:val="both"/>
        <w:rPr>
          <w:rFonts w:eastAsia="Times New Roman" w:cs="Arial"/>
          <w:bCs/>
          <w:sz w:val="20"/>
          <w:szCs w:val="20"/>
        </w:rPr>
      </w:pPr>
      <w:r w:rsidRPr="00047335">
        <w:rPr>
          <w:rFonts w:eastAsia="Times New Roman" w:cs="Arial"/>
          <w:bCs/>
          <w:sz w:val="20"/>
          <w:szCs w:val="20"/>
        </w:rPr>
        <w:t>Obligaciones de información, destino de rentas y consecuencias de la pérdida del régimen especial.</w:t>
      </w:r>
    </w:p>
    <w:p w14:paraId="0A4B670A" w14:textId="77777777" w:rsidR="00047335" w:rsidRPr="00047335" w:rsidRDefault="00047335" w:rsidP="00047335">
      <w:pPr>
        <w:pBdr>
          <w:bar w:val="none" w:sz="0" w:color="auto"/>
        </w:pBdr>
        <w:spacing w:after="0" w:line="240" w:lineRule="auto"/>
        <w:jc w:val="both"/>
        <w:rPr>
          <w:rFonts w:eastAsia="Times New Roman" w:cs="Arial"/>
          <w:bCs/>
          <w:sz w:val="20"/>
          <w:szCs w:val="20"/>
        </w:rPr>
      </w:pPr>
    </w:p>
    <w:p w14:paraId="24860449" w14:textId="73135634" w:rsidR="00047335" w:rsidRPr="00047335" w:rsidRDefault="00047335" w:rsidP="00047335">
      <w:pPr>
        <w:pBdr>
          <w:bar w:val="none" w:sz="0" w:color="auto"/>
        </w:pBdr>
        <w:spacing w:after="0" w:line="240" w:lineRule="auto"/>
        <w:jc w:val="both"/>
        <w:rPr>
          <w:rFonts w:eastAsia="Times New Roman" w:cs="Arial"/>
          <w:b/>
          <w:sz w:val="20"/>
          <w:szCs w:val="20"/>
        </w:rPr>
      </w:pPr>
      <w:r w:rsidRPr="00047335">
        <w:rPr>
          <w:rFonts w:eastAsia="Times New Roman" w:cs="Arial"/>
          <w:b/>
          <w:sz w:val="20"/>
          <w:szCs w:val="20"/>
        </w:rPr>
        <w:t>3.- El IVA en el Tercer Sector.</w:t>
      </w:r>
    </w:p>
    <w:p w14:paraId="445F2628" w14:textId="77777777" w:rsidR="00047335" w:rsidRPr="00047335" w:rsidRDefault="00047335" w:rsidP="00047335">
      <w:pPr>
        <w:widowControl w:val="0"/>
        <w:numPr>
          <w:ilvl w:val="0"/>
          <w:numId w:val="31"/>
        </w:numPr>
        <w:pBdr>
          <w:bar w:val="none" w:sz="0" w:color="auto"/>
        </w:pBdr>
        <w:spacing w:after="0" w:line="240" w:lineRule="auto"/>
        <w:jc w:val="both"/>
        <w:rPr>
          <w:rFonts w:eastAsia="Times New Roman" w:cs="Arial"/>
          <w:bCs/>
          <w:sz w:val="20"/>
          <w:szCs w:val="20"/>
        </w:rPr>
      </w:pPr>
      <w:r w:rsidRPr="00047335">
        <w:rPr>
          <w:rFonts w:eastAsia="Times New Roman" w:cs="Arial"/>
          <w:bCs/>
          <w:sz w:val="20"/>
          <w:szCs w:val="20"/>
        </w:rPr>
        <w:t>La condición de sujeto pasivo: El impacto de realizar actividades económicas y el efecto de realizar actividades gratuitas vs. actividades remuneradas.</w:t>
      </w:r>
    </w:p>
    <w:p w14:paraId="1147AADF" w14:textId="77777777" w:rsidR="00047335" w:rsidRPr="00047335" w:rsidRDefault="00047335" w:rsidP="00047335">
      <w:pPr>
        <w:widowControl w:val="0"/>
        <w:numPr>
          <w:ilvl w:val="0"/>
          <w:numId w:val="31"/>
        </w:numPr>
        <w:pBdr>
          <w:bar w:val="none" w:sz="0" w:color="auto"/>
        </w:pBdr>
        <w:spacing w:after="0" w:line="240" w:lineRule="auto"/>
        <w:jc w:val="both"/>
        <w:rPr>
          <w:rFonts w:eastAsia="Times New Roman" w:cs="Arial"/>
          <w:bCs/>
          <w:sz w:val="20"/>
          <w:szCs w:val="20"/>
        </w:rPr>
      </w:pPr>
      <w:r w:rsidRPr="00047335">
        <w:rPr>
          <w:rFonts w:eastAsia="Times New Roman" w:cs="Arial"/>
          <w:bCs/>
          <w:sz w:val="20"/>
          <w:szCs w:val="20"/>
        </w:rPr>
        <w:t>Análisis sectorial de las exenciones habituales en ESFL:</w:t>
      </w:r>
    </w:p>
    <w:p w14:paraId="0572D46E" w14:textId="77777777" w:rsidR="00047335" w:rsidRPr="00047335" w:rsidRDefault="00047335" w:rsidP="00047335">
      <w:pPr>
        <w:widowControl w:val="0"/>
        <w:numPr>
          <w:ilvl w:val="1"/>
          <w:numId w:val="31"/>
        </w:numPr>
        <w:pBdr>
          <w:bar w:val="none" w:sz="0" w:color="auto"/>
        </w:pBdr>
        <w:spacing w:after="0" w:line="240" w:lineRule="auto"/>
        <w:jc w:val="both"/>
        <w:rPr>
          <w:rFonts w:eastAsia="Times New Roman" w:cs="Arial"/>
          <w:bCs/>
          <w:sz w:val="20"/>
          <w:szCs w:val="20"/>
        </w:rPr>
      </w:pPr>
      <w:r w:rsidRPr="00047335">
        <w:rPr>
          <w:rFonts w:eastAsia="Times New Roman" w:cs="Arial"/>
          <w:bCs/>
          <w:sz w:val="20"/>
          <w:szCs w:val="20"/>
        </w:rPr>
        <w:t>Exenciones en servicios de asistencia social e inclusión.</w:t>
      </w:r>
    </w:p>
    <w:p w14:paraId="214C21E8" w14:textId="77777777" w:rsidR="00047335" w:rsidRPr="00047335" w:rsidRDefault="00047335" w:rsidP="00047335">
      <w:pPr>
        <w:widowControl w:val="0"/>
        <w:numPr>
          <w:ilvl w:val="1"/>
          <w:numId w:val="31"/>
        </w:numPr>
        <w:pBdr>
          <w:bar w:val="none" w:sz="0" w:color="auto"/>
        </w:pBdr>
        <w:spacing w:after="0" w:line="240" w:lineRule="auto"/>
        <w:jc w:val="both"/>
        <w:rPr>
          <w:rFonts w:eastAsia="Times New Roman" w:cs="Arial"/>
          <w:bCs/>
          <w:sz w:val="20"/>
          <w:szCs w:val="20"/>
        </w:rPr>
      </w:pPr>
      <w:r w:rsidRPr="00047335">
        <w:rPr>
          <w:rFonts w:eastAsia="Times New Roman" w:cs="Arial"/>
          <w:bCs/>
          <w:sz w:val="20"/>
          <w:szCs w:val="20"/>
        </w:rPr>
        <w:t>Exenciones en actividades culturales y artísticas.</w:t>
      </w:r>
    </w:p>
    <w:p w14:paraId="00BD7FA0" w14:textId="77777777" w:rsidR="00047335" w:rsidRPr="00047335" w:rsidRDefault="00047335" w:rsidP="00047335">
      <w:pPr>
        <w:widowControl w:val="0"/>
        <w:numPr>
          <w:ilvl w:val="1"/>
          <w:numId w:val="31"/>
        </w:numPr>
        <w:pBdr>
          <w:bar w:val="none" w:sz="0" w:color="auto"/>
        </w:pBdr>
        <w:spacing w:after="0" w:line="240" w:lineRule="auto"/>
        <w:jc w:val="both"/>
        <w:rPr>
          <w:rFonts w:eastAsia="Times New Roman" w:cs="Arial"/>
          <w:bCs/>
          <w:sz w:val="20"/>
          <w:szCs w:val="20"/>
        </w:rPr>
      </w:pPr>
      <w:r w:rsidRPr="00047335">
        <w:rPr>
          <w:rFonts w:eastAsia="Times New Roman" w:cs="Arial"/>
          <w:bCs/>
          <w:sz w:val="20"/>
          <w:szCs w:val="20"/>
        </w:rPr>
        <w:t>Exenciones en el ámbito del deporte y la educación.</w:t>
      </w:r>
    </w:p>
    <w:p w14:paraId="00D5D566" w14:textId="77777777" w:rsidR="00047335" w:rsidRPr="00047335" w:rsidRDefault="00047335" w:rsidP="00047335">
      <w:pPr>
        <w:widowControl w:val="0"/>
        <w:numPr>
          <w:ilvl w:val="0"/>
          <w:numId w:val="31"/>
        </w:numPr>
        <w:pBdr>
          <w:bar w:val="none" w:sz="0" w:color="auto"/>
        </w:pBdr>
        <w:spacing w:after="0" w:line="240" w:lineRule="auto"/>
        <w:jc w:val="both"/>
        <w:rPr>
          <w:rFonts w:eastAsia="Times New Roman" w:cs="Arial"/>
          <w:bCs/>
          <w:sz w:val="20"/>
          <w:szCs w:val="20"/>
        </w:rPr>
      </w:pPr>
      <w:r w:rsidRPr="00047335">
        <w:rPr>
          <w:rFonts w:eastAsia="Times New Roman" w:cs="Arial"/>
          <w:bCs/>
          <w:sz w:val="20"/>
          <w:szCs w:val="20"/>
        </w:rPr>
        <w:t>Derecho a la deducción: Aplicación de la regla de prorrata (general y especial) y los criterios de afectación de cuotas soportadas.</w:t>
      </w:r>
    </w:p>
    <w:p w14:paraId="26686D58" w14:textId="77777777" w:rsidR="00047335" w:rsidRPr="00047335" w:rsidRDefault="00047335" w:rsidP="00047335">
      <w:pPr>
        <w:pBdr>
          <w:bar w:val="none" w:sz="0" w:color="auto"/>
        </w:pBdr>
        <w:spacing w:after="0" w:line="240" w:lineRule="auto"/>
        <w:jc w:val="both"/>
        <w:rPr>
          <w:rFonts w:eastAsia="Times New Roman" w:cs="Arial"/>
          <w:bCs/>
          <w:sz w:val="20"/>
          <w:szCs w:val="20"/>
        </w:rPr>
      </w:pPr>
    </w:p>
    <w:p w14:paraId="610DD0BB" w14:textId="240387FC" w:rsidR="00047335" w:rsidRPr="00047335" w:rsidRDefault="00047335" w:rsidP="00047335">
      <w:pPr>
        <w:pBdr>
          <w:bar w:val="none" w:sz="0" w:color="auto"/>
        </w:pBdr>
        <w:spacing w:after="0" w:line="240" w:lineRule="auto"/>
        <w:jc w:val="both"/>
        <w:rPr>
          <w:rFonts w:eastAsia="Times New Roman" w:cs="Arial"/>
          <w:b/>
          <w:sz w:val="20"/>
          <w:szCs w:val="20"/>
        </w:rPr>
      </w:pPr>
      <w:r w:rsidRPr="00047335">
        <w:rPr>
          <w:rFonts w:eastAsia="Times New Roman" w:cs="Arial"/>
          <w:b/>
          <w:sz w:val="20"/>
          <w:szCs w:val="20"/>
        </w:rPr>
        <w:t>4.- Gestión de Otros Tributos y Cumplimiento de Obligaciones.</w:t>
      </w:r>
    </w:p>
    <w:p w14:paraId="6A0D6FF5" w14:textId="77777777" w:rsidR="00047335" w:rsidRPr="00047335" w:rsidRDefault="00047335" w:rsidP="00047335">
      <w:pPr>
        <w:widowControl w:val="0"/>
        <w:numPr>
          <w:ilvl w:val="0"/>
          <w:numId w:val="32"/>
        </w:numPr>
        <w:pBdr>
          <w:bar w:val="none" w:sz="0" w:color="auto"/>
        </w:pBdr>
        <w:spacing w:after="0" w:line="240" w:lineRule="auto"/>
        <w:jc w:val="both"/>
        <w:rPr>
          <w:rFonts w:eastAsia="Times New Roman" w:cs="Arial"/>
          <w:bCs/>
          <w:sz w:val="20"/>
          <w:szCs w:val="20"/>
        </w:rPr>
      </w:pPr>
      <w:r w:rsidRPr="00047335">
        <w:rPr>
          <w:rFonts w:eastAsia="Times New Roman" w:cs="Arial"/>
          <w:bCs/>
          <w:sz w:val="20"/>
          <w:szCs w:val="20"/>
        </w:rPr>
        <w:t>Tributación local y autonómica: Beneficios y exenciones en el Impuesto sobre Bienes Inmuebles (IBI), el Impuesto sobre Actividades Económicas (IAE) y el Impuesto sobre Transmisiones Patrimoniales (ITPAJD).</w:t>
      </w:r>
    </w:p>
    <w:p w14:paraId="208D003E" w14:textId="77777777" w:rsidR="00047335" w:rsidRPr="00047335" w:rsidRDefault="00047335" w:rsidP="00047335">
      <w:pPr>
        <w:widowControl w:val="0"/>
        <w:numPr>
          <w:ilvl w:val="0"/>
          <w:numId w:val="32"/>
        </w:numPr>
        <w:pBdr>
          <w:bar w:val="none" w:sz="0" w:color="auto"/>
        </w:pBdr>
        <w:spacing w:after="0" w:line="240" w:lineRule="auto"/>
        <w:jc w:val="both"/>
        <w:rPr>
          <w:rFonts w:eastAsia="Times New Roman" w:cs="Arial"/>
          <w:bCs/>
          <w:sz w:val="20"/>
          <w:szCs w:val="20"/>
        </w:rPr>
      </w:pPr>
      <w:r w:rsidRPr="00047335">
        <w:rPr>
          <w:rFonts w:eastAsia="Times New Roman" w:cs="Arial"/>
          <w:bCs/>
          <w:sz w:val="20"/>
          <w:szCs w:val="20"/>
        </w:rPr>
        <w:t>Obligaciones con terceros: Retenciones a cuenta y declaraciones informativas.</w:t>
      </w:r>
    </w:p>
    <w:p w14:paraId="5C4F1620" w14:textId="77777777" w:rsidR="00047335" w:rsidRPr="00047335" w:rsidRDefault="00047335" w:rsidP="00047335">
      <w:pPr>
        <w:pBdr>
          <w:bar w:val="none" w:sz="0" w:color="auto"/>
        </w:pBdr>
        <w:spacing w:after="0" w:line="240" w:lineRule="auto"/>
        <w:jc w:val="both"/>
        <w:rPr>
          <w:rFonts w:eastAsia="Times New Roman" w:cs="Arial"/>
          <w:bCs/>
          <w:sz w:val="20"/>
          <w:szCs w:val="20"/>
        </w:rPr>
      </w:pPr>
    </w:p>
    <w:p w14:paraId="57F12BAB" w14:textId="368484A5" w:rsidR="00047335" w:rsidRPr="00047335" w:rsidRDefault="00047335" w:rsidP="00047335">
      <w:pPr>
        <w:pBdr>
          <w:bar w:val="none" w:sz="0" w:color="auto"/>
        </w:pBdr>
        <w:spacing w:after="0" w:line="240" w:lineRule="auto"/>
        <w:jc w:val="both"/>
        <w:rPr>
          <w:rFonts w:eastAsia="Times New Roman" w:cs="Arial"/>
          <w:b/>
          <w:sz w:val="20"/>
          <w:szCs w:val="20"/>
        </w:rPr>
      </w:pPr>
      <w:r w:rsidRPr="00047335">
        <w:rPr>
          <w:rFonts w:eastAsia="Times New Roman" w:cs="Arial"/>
          <w:b/>
          <w:sz w:val="20"/>
          <w:szCs w:val="20"/>
        </w:rPr>
        <w:t>5.- Mecenazgo y Financiación Privada.</w:t>
      </w:r>
    </w:p>
    <w:p w14:paraId="5A2512E4" w14:textId="77777777" w:rsidR="00047335" w:rsidRPr="00047335" w:rsidRDefault="00047335" w:rsidP="00047335">
      <w:pPr>
        <w:widowControl w:val="0"/>
        <w:numPr>
          <w:ilvl w:val="0"/>
          <w:numId w:val="33"/>
        </w:numPr>
        <w:pBdr>
          <w:bar w:val="none" w:sz="0" w:color="auto"/>
        </w:pBdr>
        <w:spacing w:after="0" w:line="240" w:lineRule="auto"/>
        <w:jc w:val="both"/>
        <w:rPr>
          <w:rFonts w:eastAsia="Times New Roman" w:cs="Arial"/>
          <w:bCs/>
          <w:sz w:val="20"/>
          <w:szCs w:val="20"/>
        </w:rPr>
      </w:pPr>
      <w:r w:rsidRPr="00047335">
        <w:rPr>
          <w:rFonts w:eastAsia="Times New Roman" w:cs="Arial"/>
          <w:bCs/>
          <w:sz w:val="20"/>
          <w:szCs w:val="20"/>
        </w:rPr>
        <w:t>Incentivos al donante: Régimen de deducciones en el IRPF y en el Impuesto sobre Sociedades por donativos y aportaciones.</w:t>
      </w:r>
    </w:p>
    <w:p w14:paraId="4DBABA9A" w14:textId="515CE03D" w:rsidR="000123F0" w:rsidRPr="00047335" w:rsidRDefault="00047335" w:rsidP="000123F0">
      <w:pPr>
        <w:widowControl w:val="0"/>
        <w:numPr>
          <w:ilvl w:val="0"/>
          <w:numId w:val="33"/>
        </w:numPr>
        <w:pBdr>
          <w:bar w:val="none" w:sz="0" w:color="auto"/>
        </w:pBdr>
        <w:spacing w:after="0" w:line="240" w:lineRule="auto"/>
        <w:jc w:val="both"/>
        <w:rPr>
          <w:rFonts w:eastAsia="Times New Roman" w:cs="Arial"/>
          <w:bCs/>
          <w:sz w:val="20"/>
          <w:szCs w:val="20"/>
        </w:rPr>
      </w:pPr>
      <w:r w:rsidRPr="00047335">
        <w:rPr>
          <w:rFonts w:eastAsia="Times New Roman" w:cs="Arial"/>
          <w:bCs/>
          <w:sz w:val="20"/>
          <w:szCs w:val="20"/>
        </w:rPr>
        <w:t>Fórmulas de colaboración: El convenio de colaboración empresarial en actividades de interés general y el patrocinio publicitario.</w:t>
      </w:r>
    </w:p>
    <w:p w14:paraId="36E2A6C4" w14:textId="5E5940DA" w:rsidR="00320102" w:rsidRDefault="00320102" w:rsidP="00C73BE4">
      <w:pPr>
        <w:pStyle w:val="Ttulo3"/>
      </w:pPr>
      <w:r>
        <w:t>Organización:</w:t>
      </w:r>
    </w:p>
    <w:p w14:paraId="4C28B93E" w14:textId="77777777" w:rsidR="00320102" w:rsidRDefault="00320102" w:rsidP="00320102">
      <w:pPr>
        <w:pStyle w:val="Ttulo4"/>
      </w:pPr>
      <w:r w:rsidRPr="00320102">
        <w:t>Plazo de inscripción</w:t>
      </w:r>
    </w:p>
    <w:p w14:paraId="195200A8" w14:textId="56F72937" w:rsidR="00320102" w:rsidRDefault="00320102" w:rsidP="00320102">
      <w:r>
        <w:t xml:space="preserve">La recepción de solicitudes finalizará el </w:t>
      </w:r>
      <w:r w:rsidR="00047335">
        <w:t>5 de noviembre</w:t>
      </w:r>
      <w:r>
        <w:t xml:space="preserve">, a las 15,00 horas. Plazas limitadas </w:t>
      </w:r>
      <w:r w:rsidR="000123F0">
        <w:t>siguiendo las normas de la Fundación Tripartita.</w:t>
      </w:r>
      <w:r>
        <w:t xml:space="preserve"> Se enviará confirmación por correo electrónico. Las cancelaciones efectuadas con posterioridad a dicha fecha, estarán sujetas a la retención del 40% de la cuota de inscripción. Teléfono de información 976 355 000 </w:t>
      </w:r>
    </w:p>
    <w:p w14:paraId="7F59B232" w14:textId="77777777" w:rsidR="00320102" w:rsidRDefault="00320102" w:rsidP="00320102">
      <w:pPr>
        <w:pStyle w:val="Ttulo4"/>
      </w:pPr>
      <w:r>
        <w:lastRenderedPageBreak/>
        <w:t>Cuota de inscripción y forma de pago</w:t>
      </w:r>
    </w:p>
    <w:p w14:paraId="02A1CCEF" w14:textId="6FE24D09" w:rsidR="000123F0" w:rsidRPr="000123F0" w:rsidRDefault="000123F0" w:rsidP="000123F0">
      <w:r>
        <w:t>Bonificables en un porcentaje de la cuota de inscripción. Si desea acogerse a la bonificación deberá realizar la inscripción, como mínimo, 7 días hábiles antes de la fecha de inicio.</w:t>
      </w:r>
    </w:p>
    <w:p w14:paraId="3A9B1007" w14:textId="6D378314" w:rsidR="00320102" w:rsidRDefault="00320102" w:rsidP="00320102">
      <w:pPr>
        <w:pStyle w:val="Prrafodelista"/>
      </w:pPr>
      <w:r>
        <w:t xml:space="preserve">Importe para desempleados (previa confirmación de la plaza) pago con tarjeta de crédito: </w:t>
      </w:r>
      <w:r w:rsidR="00047335">
        <w:t>63</w:t>
      </w:r>
      <w:r>
        <w:t xml:space="preserve"> euros (incluye documentación).</w:t>
      </w:r>
    </w:p>
    <w:p w14:paraId="792F27D2" w14:textId="4515F961" w:rsidR="00320102" w:rsidRDefault="00320102" w:rsidP="00320102">
      <w:pPr>
        <w:pStyle w:val="Prrafodelista"/>
      </w:pPr>
      <w:r>
        <w:t>Importe para pagos por domiciliación o tarjeta de crédito (pre</w:t>
      </w:r>
      <w:r w:rsidR="000123F0">
        <w:t xml:space="preserve">via confirmación de la plaza): </w:t>
      </w:r>
      <w:r w:rsidR="00047335">
        <w:t>210</w:t>
      </w:r>
      <w:r>
        <w:t xml:space="preserve"> euros (incluye documentación).</w:t>
      </w:r>
    </w:p>
    <w:p w14:paraId="061AF80D" w14:textId="5F65147E" w:rsidR="00320102" w:rsidRPr="00320102" w:rsidRDefault="00320102" w:rsidP="00320102">
      <w:pPr>
        <w:pStyle w:val="Cita"/>
        <w:ind w:left="0" w:right="0"/>
        <w:jc w:val="left"/>
        <w:rPr>
          <w:i w:val="0"/>
          <w:iCs w:val="0"/>
          <w:sz w:val="16"/>
          <w:szCs w:val="16"/>
        </w:rPr>
      </w:pPr>
      <w:r w:rsidRPr="00320102">
        <w:rPr>
          <w:i w:val="0"/>
          <w:iCs w:val="0"/>
          <w:sz w:val="16"/>
          <w:szCs w:val="16"/>
        </w:rPr>
        <w:t>En virtud del Decreto 82/2003 de 29 de abril del Gobierno de Aragón, se advierte de que las enseñanzas que se imparten organizadas por la Fundación CAI, no conducen a la obtención de títulos académicos oficiales.</w:t>
      </w:r>
    </w:p>
    <w:p w14:paraId="5E400DD4" w14:textId="77777777" w:rsidR="000123F0" w:rsidRPr="000123F0" w:rsidRDefault="000123F0" w:rsidP="000123F0">
      <w:pPr>
        <w:pBdr>
          <w:bar w:val="none" w:sz="0" w:color="auto"/>
        </w:pBdr>
        <w:spacing w:after="0" w:line="240" w:lineRule="auto"/>
        <w:rPr>
          <w:rFonts w:ascii="Arial" w:eastAsia="Times New Roman" w:hAnsi="Arial" w:cs="Arial"/>
          <w:color w:val="000000"/>
          <w:sz w:val="16"/>
          <w:szCs w:val="16"/>
        </w:rPr>
      </w:pPr>
      <w:r w:rsidRPr="000123F0">
        <w:rPr>
          <w:rFonts w:ascii="Arial" w:eastAsia="Times New Roman" w:hAnsi="Arial" w:cs="Arial"/>
          <w:b/>
          <w:bCs/>
          <w:color w:val="000000"/>
          <w:sz w:val="16"/>
          <w:szCs w:val="16"/>
        </w:rPr>
        <w:t>Fundación Caja de Ahorros de la Inmaculada de Aragón</w:t>
      </w:r>
      <w:r w:rsidRPr="000123F0">
        <w:rPr>
          <w:rFonts w:ascii="Arial" w:eastAsia="Times New Roman" w:hAnsi="Arial" w:cs="Arial"/>
          <w:color w:val="000000"/>
          <w:sz w:val="16"/>
          <w:szCs w:val="16"/>
        </w:rPr>
        <w:t> - CIF. G-50000819.</w:t>
      </w:r>
      <w:r w:rsidRPr="000123F0">
        <w:rPr>
          <w:rFonts w:ascii="Arial" w:eastAsia="Times New Roman" w:hAnsi="Arial" w:cs="Arial"/>
          <w:color w:val="000000"/>
          <w:sz w:val="16"/>
          <w:szCs w:val="16"/>
        </w:rPr>
        <w:br/>
        <w:t>Inscrita en el Registro de Fundaciones de la Comunidad Autónoma de Aragón con el número 350/I</w:t>
      </w:r>
      <w:r w:rsidRPr="000123F0">
        <w:rPr>
          <w:rFonts w:ascii="Arial" w:eastAsia="Times New Roman" w:hAnsi="Arial" w:cs="Arial"/>
          <w:color w:val="000000"/>
          <w:sz w:val="16"/>
          <w:szCs w:val="16"/>
        </w:rPr>
        <w:br/>
        <w:t>Domicilio Social: Calle San Braulio, 5-7, 50003 - ZARAGOZA.</w:t>
      </w:r>
    </w:p>
    <w:p w14:paraId="5A5F6D35" w14:textId="77777777" w:rsidR="000123F0" w:rsidRPr="000123F0" w:rsidRDefault="000123F0" w:rsidP="000123F0">
      <w:pPr>
        <w:pBdr>
          <w:bar w:val="none" w:sz="0" w:color="auto"/>
        </w:pBdr>
        <w:spacing w:after="150" w:line="240" w:lineRule="auto"/>
        <w:rPr>
          <w:rFonts w:ascii="Arial" w:eastAsia="Times New Roman" w:hAnsi="Arial" w:cs="Arial"/>
          <w:b/>
          <w:bCs/>
          <w:color w:val="000000"/>
          <w:sz w:val="16"/>
          <w:szCs w:val="16"/>
        </w:rPr>
      </w:pPr>
      <w:r w:rsidRPr="000123F0">
        <w:rPr>
          <w:rFonts w:ascii="Arial" w:eastAsia="Times New Roman" w:hAnsi="Arial" w:cs="Arial"/>
          <w:color w:val="000000"/>
          <w:sz w:val="16"/>
          <w:szCs w:val="16"/>
        </w:rPr>
        <w:t>© 2012-2026  </w:t>
      </w:r>
      <w:r w:rsidRPr="000123F0">
        <w:rPr>
          <w:rFonts w:ascii="Arial" w:eastAsia="Times New Roman" w:hAnsi="Arial" w:cs="Arial"/>
          <w:b/>
          <w:bCs/>
          <w:color w:val="000000"/>
          <w:sz w:val="16"/>
          <w:szCs w:val="16"/>
        </w:rPr>
        <w:t>Fundación Caja Inmaculada</w:t>
      </w:r>
    </w:p>
    <w:p w14:paraId="4F63EE01" w14:textId="77777777" w:rsidR="00320102" w:rsidRPr="00320102" w:rsidRDefault="00320102"/>
    <w:sectPr w:rsidR="00320102" w:rsidRPr="00320102" w:rsidSect="00F91F97">
      <w:headerReference w:type="default" r:id="rId11"/>
      <w:footerReference w:type="default" r:id="rId12"/>
      <w:headerReference w:type="first" r:id="rId13"/>
      <w:footerReference w:type="first" r:id="rId14"/>
      <w:pgSz w:w="11906" w:h="16838"/>
      <w:pgMar w:top="1985" w:right="1021" w:bottom="1021" w:left="1021" w:header="567" w:footer="5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5B3EF22" w14:textId="77777777" w:rsidR="00705E63" w:rsidRDefault="00705E63" w:rsidP="00845439">
      <w:r>
        <w:separator/>
      </w:r>
    </w:p>
  </w:endnote>
  <w:endnote w:type="continuationSeparator" w:id="0">
    <w:p w14:paraId="10C55D55" w14:textId="77777777" w:rsidR="00705E63" w:rsidRDefault="00705E63" w:rsidP="008454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ova">
    <w:panose1 w:val="020B0504020202020204"/>
    <w:charset w:val="00"/>
    <w:family w:val="swiss"/>
    <w:pitch w:val="variable"/>
    <w:sig w:usb0="2000028F" w:usb1="00000002"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Nova Cond">
    <w:panose1 w:val="020B0806020202020204"/>
    <w:charset w:val="00"/>
    <w:family w:val="swiss"/>
    <w:pitch w:val="variable"/>
    <w:sig w:usb0="2000028F" w:usb1="00000002"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Cuadrculadetablaclara"/>
      <w:tblW w:w="10204" w:type="dxa"/>
      <w:tblInd w:w="-3"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ook w:val="06A0" w:firstRow="1" w:lastRow="0" w:firstColumn="1" w:lastColumn="0" w:noHBand="1" w:noVBand="1"/>
    </w:tblPr>
    <w:tblGrid>
      <w:gridCol w:w="5102"/>
      <w:gridCol w:w="5102"/>
    </w:tblGrid>
    <w:tr w:rsidR="00320102" w14:paraId="4B3ECC74" w14:textId="77777777" w:rsidTr="00320102">
      <w:trPr>
        <w:trHeight w:val="300"/>
      </w:trPr>
      <w:tc>
        <w:tcPr>
          <w:tcW w:w="5102" w:type="dxa"/>
        </w:tcPr>
        <w:p w14:paraId="6914795B" w14:textId="77777777" w:rsidR="00320102" w:rsidRPr="00320102" w:rsidRDefault="00320102" w:rsidP="00320102">
          <w:pPr>
            <w:tabs>
              <w:tab w:val="center" w:pos="4550"/>
              <w:tab w:val="left" w:pos="5818"/>
            </w:tabs>
            <w:spacing w:before="480"/>
            <w:ind w:right="260"/>
            <w:rPr>
              <w:rFonts w:ascii="Arial Nova Cond" w:eastAsia="Arial Nova Cond" w:hAnsi="Arial Nova Cond" w:cs="Arial Nova Cond"/>
              <w:color w:val="AEAAAA" w:themeColor="background2" w:themeShade="BF"/>
              <w:sz w:val="16"/>
              <w:szCs w:val="16"/>
            </w:rPr>
          </w:pPr>
          <w:r w:rsidRPr="00320102">
            <w:rPr>
              <w:rFonts w:ascii="Arial Nova Cond" w:eastAsia="Arial Nova Cond" w:hAnsi="Arial Nova Cond" w:cs="Arial Nova Cond"/>
              <w:color w:val="AEAAAA" w:themeColor="background2" w:themeShade="BF"/>
              <w:sz w:val="16"/>
              <w:szCs w:val="16"/>
            </w:rPr>
            <w:fldChar w:fldCharType="begin"/>
          </w:r>
          <w:r w:rsidRPr="00320102">
            <w:rPr>
              <w:color w:val="323E4F" w:themeColor="text2" w:themeShade="BF"/>
              <w:sz w:val="16"/>
              <w:szCs w:val="16"/>
            </w:rPr>
            <w:instrText>PAGE   \* MERGEFORMAT</w:instrText>
          </w:r>
          <w:r w:rsidRPr="00320102">
            <w:rPr>
              <w:color w:val="323E4F" w:themeColor="text2" w:themeShade="BF"/>
              <w:sz w:val="16"/>
              <w:szCs w:val="16"/>
            </w:rPr>
            <w:fldChar w:fldCharType="separate"/>
          </w:r>
          <w:r w:rsidR="00EA6BE2" w:rsidRPr="00EA6BE2">
            <w:rPr>
              <w:rFonts w:ascii="Arial Nova Cond" w:eastAsia="Arial Nova Cond" w:hAnsi="Arial Nova Cond" w:cs="Arial Nova Cond"/>
              <w:noProof/>
              <w:color w:val="AEAAAA" w:themeColor="background2" w:themeShade="BF"/>
              <w:sz w:val="16"/>
              <w:szCs w:val="16"/>
            </w:rPr>
            <w:t>3</w:t>
          </w:r>
          <w:r w:rsidRPr="00320102">
            <w:rPr>
              <w:rFonts w:ascii="Arial Nova Cond" w:eastAsia="Arial Nova Cond" w:hAnsi="Arial Nova Cond" w:cs="Arial Nova Cond"/>
              <w:color w:val="AEAAAA" w:themeColor="background2" w:themeShade="BF"/>
              <w:sz w:val="16"/>
              <w:szCs w:val="16"/>
            </w:rPr>
            <w:fldChar w:fldCharType="end"/>
          </w:r>
          <w:r w:rsidRPr="00320102">
            <w:rPr>
              <w:rFonts w:ascii="Arial Nova Cond" w:eastAsia="Arial Nova Cond" w:hAnsi="Arial Nova Cond" w:cs="Arial Nova Cond"/>
              <w:color w:val="AEAAAA" w:themeColor="background2" w:themeShade="BF"/>
              <w:sz w:val="16"/>
              <w:szCs w:val="16"/>
            </w:rPr>
            <w:t xml:space="preserve"> | </w:t>
          </w:r>
          <w:r w:rsidRPr="00320102">
            <w:rPr>
              <w:rFonts w:ascii="Arial Nova Cond" w:eastAsia="Arial Nova Cond" w:hAnsi="Arial Nova Cond" w:cs="Arial Nova Cond"/>
              <w:color w:val="AEAAAA" w:themeColor="background2" w:themeShade="BF"/>
              <w:sz w:val="16"/>
              <w:szCs w:val="16"/>
            </w:rPr>
            <w:fldChar w:fldCharType="begin"/>
          </w:r>
          <w:r w:rsidRPr="00320102">
            <w:rPr>
              <w:color w:val="323E4F" w:themeColor="text2" w:themeShade="BF"/>
              <w:sz w:val="16"/>
              <w:szCs w:val="16"/>
            </w:rPr>
            <w:instrText>NUMPAGES  \* Arabic  \* MERGEFORMAT</w:instrText>
          </w:r>
          <w:r w:rsidRPr="00320102">
            <w:rPr>
              <w:color w:val="323E4F" w:themeColor="text2" w:themeShade="BF"/>
              <w:sz w:val="16"/>
              <w:szCs w:val="16"/>
            </w:rPr>
            <w:fldChar w:fldCharType="separate"/>
          </w:r>
          <w:r w:rsidR="00EA6BE2" w:rsidRPr="00EA6BE2">
            <w:rPr>
              <w:rFonts w:ascii="Arial Nova Cond" w:eastAsia="Arial Nova Cond" w:hAnsi="Arial Nova Cond" w:cs="Arial Nova Cond"/>
              <w:noProof/>
              <w:color w:val="AEAAAA" w:themeColor="background2" w:themeShade="BF"/>
              <w:sz w:val="16"/>
              <w:szCs w:val="16"/>
            </w:rPr>
            <w:t>3</w:t>
          </w:r>
          <w:r w:rsidRPr="00320102">
            <w:rPr>
              <w:rFonts w:ascii="Arial Nova Cond" w:eastAsia="Arial Nova Cond" w:hAnsi="Arial Nova Cond" w:cs="Arial Nova Cond"/>
              <w:color w:val="AEAAAA" w:themeColor="background2" w:themeShade="BF"/>
              <w:sz w:val="16"/>
              <w:szCs w:val="16"/>
            </w:rPr>
            <w:fldChar w:fldCharType="end"/>
          </w:r>
        </w:p>
      </w:tc>
      <w:tc>
        <w:tcPr>
          <w:tcW w:w="5102" w:type="dxa"/>
        </w:tcPr>
        <w:p w14:paraId="51808A19" w14:textId="13DD24CC" w:rsidR="00320102" w:rsidRPr="00320102" w:rsidRDefault="00F91F97" w:rsidP="00320102">
          <w:pPr>
            <w:spacing w:before="480"/>
            <w:jc w:val="right"/>
            <w:rPr>
              <w:rFonts w:ascii="Arial Nova Cond" w:eastAsia="Arial Nova Cond" w:hAnsi="Arial Nova Cond" w:cs="Arial Nova Cond"/>
              <w:color w:val="222A35" w:themeColor="text2" w:themeShade="80"/>
              <w:sz w:val="16"/>
              <w:szCs w:val="16"/>
            </w:rPr>
          </w:pPr>
          <w:r>
            <w:rPr>
              <w:rFonts w:ascii="Arial Nova Cond" w:eastAsia="Arial Nova Cond" w:hAnsi="Arial Nova Cond" w:cs="Arial Nova Cond"/>
              <w:color w:val="AEAAAA" w:themeColor="background2" w:themeShade="BF"/>
              <w:sz w:val="16"/>
              <w:szCs w:val="16"/>
            </w:rPr>
            <w:t xml:space="preserve">Formación Empresarial Fundación </w:t>
          </w:r>
        </w:p>
      </w:tc>
    </w:tr>
  </w:tbl>
  <w:p w14:paraId="34562B63" w14:textId="5FDD551D" w:rsidR="5E65E4BD" w:rsidRDefault="5E65E4BD" w:rsidP="00845439"/>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Cuadrculadetablaclara"/>
      <w:tblW w:w="10204" w:type="dxa"/>
      <w:tblInd w:w="-3"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ook w:val="06A0" w:firstRow="1" w:lastRow="0" w:firstColumn="1" w:lastColumn="0" w:noHBand="1" w:noVBand="1"/>
    </w:tblPr>
    <w:tblGrid>
      <w:gridCol w:w="5102"/>
      <w:gridCol w:w="5102"/>
    </w:tblGrid>
    <w:tr w:rsidR="00F91F97" w14:paraId="41962023" w14:textId="77777777" w:rsidTr="00264C95">
      <w:trPr>
        <w:trHeight w:val="300"/>
      </w:trPr>
      <w:tc>
        <w:tcPr>
          <w:tcW w:w="5102" w:type="dxa"/>
        </w:tcPr>
        <w:p w14:paraId="7E63AF6F" w14:textId="77777777" w:rsidR="00F91F97" w:rsidRPr="00320102" w:rsidRDefault="00F91F97" w:rsidP="00F91F97">
          <w:pPr>
            <w:tabs>
              <w:tab w:val="center" w:pos="4550"/>
              <w:tab w:val="left" w:pos="5818"/>
            </w:tabs>
            <w:spacing w:before="480"/>
            <w:ind w:right="260"/>
            <w:rPr>
              <w:rFonts w:ascii="Arial Nova Cond" w:eastAsia="Arial Nova Cond" w:hAnsi="Arial Nova Cond" w:cs="Arial Nova Cond"/>
              <w:color w:val="AEAAAA" w:themeColor="background2" w:themeShade="BF"/>
              <w:sz w:val="16"/>
              <w:szCs w:val="16"/>
            </w:rPr>
          </w:pPr>
          <w:r w:rsidRPr="00320102">
            <w:rPr>
              <w:rFonts w:ascii="Arial Nova Cond" w:eastAsia="Arial Nova Cond" w:hAnsi="Arial Nova Cond" w:cs="Arial Nova Cond"/>
              <w:color w:val="AEAAAA" w:themeColor="background2" w:themeShade="BF"/>
              <w:sz w:val="16"/>
              <w:szCs w:val="16"/>
            </w:rPr>
            <w:fldChar w:fldCharType="begin"/>
          </w:r>
          <w:r w:rsidRPr="00320102">
            <w:rPr>
              <w:color w:val="323E4F" w:themeColor="text2" w:themeShade="BF"/>
              <w:sz w:val="16"/>
              <w:szCs w:val="16"/>
            </w:rPr>
            <w:instrText>PAGE   \* MERGEFORMAT</w:instrText>
          </w:r>
          <w:r w:rsidRPr="00320102">
            <w:rPr>
              <w:color w:val="323E4F" w:themeColor="text2" w:themeShade="BF"/>
              <w:sz w:val="16"/>
              <w:szCs w:val="16"/>
            </w:rPr>
            <w:fldChar w:fldCharType="separate"/>
          </w:r>
          <w:r w:rsidR="00EA6BE2" w:rsidRPr="00EA6BE2">
            <w:rPr>
              <w:rFonts w:ascii="Arial Nova Cond" w:eastAsia="Arial Nova Cond" w:hAnsi="Arial Nova Cond" w:cs="Arial Nova Cond"/>
              <w:noProof/>
              <w:color w:val="AEAAAA" w:themeColor="background2" w:themeShade="BF"/>
              <w:sz w:val="16"/>
              <w:szCs w:val="16"/>
            </w:rPr>
            <w:t>1</w:t>
          </w:r>
          <w:r w:rsidRPr="00320102">
            <w:rPr>
              <w:rFonts w:ascii="Arial Nova Cond" w:eastAsia="Arial Nova Cond" w:hAnsi="Arial Nova Cond" w:cs="Arial Nova Cond"/>
              <w:color w:val="AEAAAA" w:themeColor="background2" w:themeShade="BF"/>
              <w:sz w:val="16"/>
              <w:szCs w:val="16"/>
            </w:rPr>
            <w:fldChar w:fldCharType="end"/>
          </w:r>
          <w:r w:rsidRPr="00320102">
            <w:rPr>
              <w:rFonts w:ascii="Arial Nova Cond" w:eastAsia="Arial Nova Cond" w:hAnsi="Arial Nova Cond" w:cs="Arial Nova Cond"/>
              <w:color w:val="AEAAAA" w:themeColor="background2" w:themeShade="BF"/>
              <w:sz w:val="16"/>
              <w:szCs w:val="16"/>
            </w:rPr>
            <w:t xml:space="preserve"> | </w:t>
          </w:r>
          <w:r w:rsidRPr="00320102">
            <w:rPr>
              <w:rFonts w:ascii="Arial Nova Cond" w:eastAsia="Arial Nova Cond" w:hAnsi="Arial Nova Cond" w:cs="Arial Nova Cond"/>
              <w:color w:val="AEAAAA" w:themeColor="background2" w:themeShade="BF"/>
              <w:sz w:val="16"/>
              <w:szCs w:val="16"/>
            </w:rPr>
            <w:fldChar w:fldCharType="begin"/>
          </w:r>
          <w:r w:rsidRPr="00320102">
            <w:rPr>
              <w:color w:val="323E4F" w:themeColor="text2" w:themeShade="BF"/>
              <w:sz w:val="16"/>
              <w:szCs w:val="16"/>
            </w:rPr>
            <w:instrText>NUMPAGES  \* Arabic  \* MERGEFORMAT</w:instrText>
          </w:r>
          <w:r w:rsidRPr="00320102">
            <w:rPr>
              <w:color w:val="323E4F" w:themeColor="text2" w:themeShade="BF"/>
              <w:sz w:val="16"/>
              <w:szCs w:val="16"/>
            </w:rPr>
            <w:fldChar w:fldCharType="separate"/>
          </w:r>
          <w:r w:rsidR="00EA6BE2" w:rsidRPr="00EA6BE2">
            <w:rPr>
              <w:rFonts w:ascii="Arial Nova Cond" w:eastAsia="Arial Nova Cond" w:hAnsi="Arial Nova Cond" w:cs="Arial Nova Cond"/>
              <w:noProof/>
              <w:color w:val="AEAAAA" w:themeColor="background2" w:themeShade="BF"/>
              <w:sz w:val="16"/>
              <w:szCs w:val="16"/>
            </w:rPr>
            <w:t>3</w:t>
          </w:r>
          <w:r w:rsidRPr="00320102">
            <w:rPr>
              <w:rFonts w:ascii="Arial Nova Cond" w:eastAsia="Arial Nova Cond" w:hAnsi="Arial Nova Cond" w:cs="Arial Nova Cond"/>
              <w:color w:val="AEAAAA" w:themeColor="background2" w:themeShade="BF"/>
              <w:sz w:val="16"/>
              <w:szCs w:val="16"/>
            </w:rPr>
            <w:fldChar w:fldCharType="end"/>
          </w:r>
        </w:p>
      </w:tc>
      <w:tc>
        <w:tcPr>
          <w:tcW w:w="5102" w:type="dxa"/>
        </w:tcPr>
        <w:p w14:paraId="514E3D65" w14:textId="77777777" w:rsidR="00F91F97" w:rsidRPr="00320102" w:rsidRDefault="00F91F97" w:rsidP="00F91F97">
          <w:pPr>
            <w:spacing w:before="480"/>
            <w:jc w:val="right"/>
            <w:rPr>
              <w:rFonts w:ascii="Arial Nova Cond" w:eastAsia="Arial Nova Cond" w:hAnsi="Arial Nova Cond" w:cs="Arial Nova Cond"/>
              <w:color w:val="222A35" w:themeColor="text2" w:themeShade="80"/>
              <w:sz w:val="16"/>
              <w:szCs w:val="16"/>
            </w:rPr>
          </w:pPr>
          <w:r>
            <w:rPr>
              <w:rFonts w:ascii="Arial Nova Cond" w:eastAsia="Arial Nova Cond" w:hAnsi="Arial Nova Cond" w:cs="Arial Nova Cond"/>
              <w:color w:val="AEAAAA" w:themeColor="background2" w:themeShade="BF"/>
              <w:sz w:val="16"/>
              <w:szCs w:val="16"/>
            </w:rPr>
            <w:t xml:space="preserve">Formación Empresarial Fundación </w:t>
          </w:r>
        </w:p>
      </w:tc>
    </w:tr>
  </w:tbl>
  <w:p w14:paraId="4407E832" w14:textId="57480617" w:rsidR="00F91F97" w:rsidRDefault="00F91F97">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7DA8FE0" w14:textId="77777777" w:rsidR="00705E63" w:rsidRDefault="00705E63" w:rsidP="00845439">
      <w:bookmarkStart w:id="0" w:name="_Hlk158200655"/>
      <w:bookmarkEnd w:id="0"/>
      <w:r>
        <w:separator/>
      </w:r>
    </w:p>
  </w:footnote>
  <w:footnote w:type="continuationSeparator" w:id="0">
    <w:p w14:paraId="564072CE" w14:textId="77777777" w:rsidR="00705E63" w:rsidRDefault="00705E63" w:rsidP="0084543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8F9F3E" w14:textId="37DD3576" w:rsidR="00FF2491" w:rsidRDefault="00346E9C" w:rsidP="00845439">
    <w:pPr>
      <w:pStyle w:val="Encabezado"/>
      <w:rPr>
        <w:rFonts w:ascii="Arial" w:eastAsia="Arial" w:hAnsi="Arial" w:cs="Arial"/>
      </w:rPr>
    </w:pPr>
    <w:r>
      <w:rPr>
        <w:noProof/>
        <w:lang w:eastAsia="es-ES"/>
      </w:rPr>
      <w:drawing>
        <wp:anchor distT="0" distB="0" distL="114300" distR="114300" simplePos="0" relativeHeight="251670528" behindDoc="1" locked="0" layoutInCell="1" allowOverlap="1" wp14:anchorId="3C58BB52" wp14:editId="3BC86E96">
          <wp:simplePos x="0" y="0"/>
          <wp:positionH relativeFrom="column">
            <wp:posOffset>3971714</wp:posOffset>
          </wp:positionH>
          <wp:positionV relativeFrom="paragraph">
            <wp:posOffset>109220</wp:posOffset>
          </wp:positionV>
          <wp:extent cx="850504" cy="257921"/>
          <wp:effectExtent l="0" t="0" r="635" b="0"/>
          <wp:wrapNone/>
          <wp:docPr id="8339904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6061364" name="Imagen 1596061364"/>
                  <pic:cNvPicPr/>
                </pic:nvPicPr>
                <pic:blipFill>
                  <a:blip r:embed="rId1">
                    <a:extLst>
                      <a:ext uri="{28A0092B-C50C-407E-A947-70E740481C1C}">
                        <a14:useLocalDpi xmlns:a14="http://schemas.microsoft.com/office/drawing/2010/main" val="0"/>
                      </a:ext>
                    </a:extLst>
                  </a:blip>
                  <a:stretch>
                    <a:fillRect/>
                  </a:stretch>
                </pic:blipFill>
                <pic:spPr>
                  <a:xfrm>
                    <a:off x="0" y="0"/>
                    <a:ext cx="850504" cy="257921"/>
                  </a:xfrm>
                  <a:prstGeom prst="rect">
                    <a:avLst/>
                  </a:prstGeom>
                </pic:spPr>
              </pic:pic>
            </a:graphicData>
          </a:graphic>
          <wp14:sizeRelH relativeFrom="page">
            <wp14:pctWidth>0</wp14:pctWidth>
          </wp14:sizeRelH>
          <wp14:sizeRelV relativeFrom="page">
            <wp14:pctHeight>0</wp14:pctHeight>
          </wp14:sizeRelV>
        </wp:anchor>
      </w:drawing>
    </w:r>
    <w:r w:rsidR="00E17EC1">
      <w:rPr>
        <w:noProof/>
        <w:lang w:eastAsia="es-ES"/>
      </w:rPr>
      <w:drawing>
        <wp:anchor distT="0" distB="0" distL="114300" distR="114300" simplePos="0" relativeHeight="251667456" behindDoc="1" locked="0" layoutInCell="1" allowOverlap="1" wp14:anchorId="7C866BA0" wp14:editId="0984A90E">
          <wp:simplePos x="0" y="0"/>
          <wp:positionH relativeFrom="column">
            <wp:posOffset>5032587</wp:posOffset>
          </wp:positionH>
          <wp:positionV relativeFrom="paragraph">
            <wp:posOffset>81280</wp:posOffset>
          </wp:positionV>
          <wp:extent cx="1402715" cy="307975"/>
          <wp:effectExtent l="0" t="0" r="0" b="0"/>
          <wp:wrapNone/>
          <wp:docPr id="457701883"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9869406" name="Imagen 919869406"/>
                  <pic:cNvPicPr/>
                </pic:nvPicPr>
                <pic:blipFill>
                  <a:blip r:embed="rId2">
                    <a:extLst>
                      <a:ext uri="{28A0092B-C50C-407E-A947-70E740481C1C}">
                        <a14:useLocalDpi xmlns:a14="http://schemas.microsoft.com/office/drawing/2010/main" val="0"/>
                      </a:ext>
                    </a:extLst>
                  </a:blip>
                  <a:stretch>
                    <a:fillRect/>
                  </a:stretch>
                </pic:blipFill>
                <pic:spPr>
                  <a:xfrm>
                    <a:off x="0" y="0"/>
                    <a:ext cx="1402715" cy="307975"/>
                  </a:xfrm>
                  <a:prstGeom prst="rect">
                    <a:avLst/>
                  </a:prstGeom>
                </pic:spPr>
              </pic:pic>
            </a:graphicData>
          </a:graphic>
          <wp14:sizeRelH relativeFrom="page">
            <wp14:pctWidth>0</wp14:pctWidth>
          </wp14:sizeRelH>
          <wp14:sizeRelV relativeFrom="page">
            <wp14:pctHeight>0</wp14:pctHeight>
          </wp14:sizeRelV>
        </wp:anchor>
      </w:drawing>
    </w:r>
    <w:r w:rsidR="7581FF9B">
      <w:rPr>
        <w:noProof/>
        <w:lang w:eastAsia="es-ES"/>
      </w:rPr>
      <w:drawing>
        <wp:anchor distT="0" distB="0" distL="114300" distR="114300" simplePos="0" relativeHeight="251659264" behindDoc="1" locked="0" layoutInCell="1" allowOverlap="1" wp14:anchorId="57287ED0" wp14:editId="27F4AC45">
          <wp:simplePos x="0" y="0"/>
          <wp:positionH relativeFrom="column">
            <wp:posOffset>-30268</wp:posOffset>
          </wp:positionH>
          <wp:positionV relativeFrom="paragraph">
            <wp:posOffset>80222</wp:posOffset>
          </wp:positionV>
          <wp:extent cx="1600200" cy="417313"/>
          <wp:effectExtent l="0" t="0" r="0" b="1905"/>
          <wp:wrapNone/>
          <wp:docPr id="1212910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a:ext>
                    </a:extLst>
                  </a:blip>
                  <a:srcRect/>
                  <a:stretch>
                    <a:fillRect/>
                  </a:stretch>
                </pic:blipFill>
                <pic:spPr bwMode="auto">
                  <a:xfrm>
                    <a:off x="0" y="0"/>
                    <a:ext cx="1615032" cy="421181"/>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7E228FF" w14:textId="1C23C180" w:rsidR="7581FF9B" w:rsidRDefault="7581FF9B" w:rsidP="00845439">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D898C8" w14:textId="2BFFD2AF" w:rsidR="00320102" w:rsidRDefault="00346E9C">
    <w:pPr>
      <w:pStyle w:val="Encabezado"/>
    </w:pPr>
    <w:r>
      <w:rPr>
        <w:noProof/>
        <w:lang w:eastAsia="es-ES"/>
      </w:rPr>
      <w:drawing>
        <wp:anchor distT="0" distB="0" distL="114300" distR="114300" simplePos="0" relativeHeight="251668480" behindDoc="1" locked="0" layoutInCell="1" allowOverlap="1" wp14:anchorId="10424BF5" wp14:editId="2B45736E">
          <wp:simplePos x="0" y="0"/>
          <wp:positionH relativeFrom="column">
            <wp:posOffset>3432387</wp:posOffset>
          </wp:positionH>
          <wp:positionV relativeFrom="paragraph">
            <wp:posOffset>198755</wp:posOffset>
          </wp:positionV>
          <wp:extent cx="1011978" cy="306890"/>
          <wp:effectExtent l="0" t="0" r="4445" b="0"/>
          <wp:wrapNone/>
          <wp:docPr id="159606136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6061364" name="Imagen 1596061364"/>
                  <pic:cNvPicPr/>
                </pic:nvPicPr>
                <pic:blipFill>
                  <a:blip r:embed="rId1">
                    <a:extLst>
                      <a:ext uri="{28A0092B-C50C-407E-A947-70E740481C1C}">
                        <a14:useLocalDpi xmlns:a14="http://schemas.microsoft.com/office/drawing/2010/main" val="0"/>
                      </a:ext>
                    </a:extLst>
                  </a:blip>
                  <a:stretch>
                    <a:fillRect/>
                  </a:stretch>
                </pic:blipFill>
                <pic:spPr>
                  <a:xfrm>
                    <a:off x="0" y="0"/>
                    <a:ext cx="1011978" cy="306890"/>
                  </a:xfrm>
                  <a:prstGeom prst="rect">
                    <a:avLst/>
                  </a:prstGeom>
                </pic:spPr>
              </pic:pic>
            </a:graphicData>
          </a:graphic>
          <wp14:sizeRelH relativeFrom="page">
            <wp14:pctWidth>0</wp14:pctWidth>
          </wp14:sizeRelH>
          <wp14:sizeRelV relativeFrom="page">
            <wp14:pctHeight>0</wp14:pctHeight>
          </wp14:sizeRelV>
        </wp:anchor>
      </w:drawing>
    </w:r>
    <w:r w:rsidR="00E17EC1">
      <w:rPr>
        <w:noProof/>
        <w:lang w:eastAsia="es-ES"/>
      </w:rPr>
      <w:drawing>
        <wp:anchor distT="0" distB="0" distL="114300" distR="114300" simplePos="0" relativeHeight="251665408" behindDoc="1" locked="0" layoutInCell="1" allowOverlap="1" wp14:anchorId="19DA87EF" wp14:editId="73227616">
          <wp:simplePos x="0" y="0"/>
          <wp:positionH relativeFrom="column">
            <wp:posOffset>4660265</wp:posOffset>
          </wp:positionH>
          <wp:positionV relativeFrom="paragraph">
            <wp:posOffset>177377</wp:posOffset>
          </wp:positionV>
          <wp:extent cx="1631315" cy="358662"/>
          <wp:effectExtent l="0" t="0" r="0" b="0"/>
          <wp:wrapNone/>
          <wp:docPr id="919869406"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9869406" name="Imagen 919869406"/>
                  <pic:cNvPicPr/>
                </pic:nvPicPr>
                <pic:blipFill>
                  <a:blip r:embed="rId2">
                    <a:extLst>
                      <a:ext uri="{28A0092B-C50C-407E-A947-70E740481C1C}">
                        <a14:useLocalDpi xmlns:a14="http://schemas.microsoft.com/office/drawing/2010/main" val="0"/>
                      </a:ext>
                    </a:extLst>
                  </a:blip>
                  <a:stretch>
                    <a:fillRect/>
                  </a:stretch>
                </pic:blipFill>
                <pic:spPr>
                  <a:xfrm>
                    <a:off x="0" y="0"/>
                    <a:ext cx="1631315" cy="358662"/>
                  </a:xfrm>
                  <a:prstGeom prst="rect">
                    <a:avLst/>
                  </a:prstGeom>
                </pic:spPr>
              </pic:pic>
            </a:graphicData>
          </a:graphic>
          <wp14:sizeRelH relativeFrom="page">
            <wp14:pctWidth>0</wp14:pctWidth>
          </wp14:sizeRelH>
          <wp14:sizeRelV relativeFrom="page">
            <wp14:pctHeight>0</wp14:pctHeight>
          </wp14:sizeRelV>
        </wp:anchor>
      </w:drawing>
    </w:r>
    <w:r w:rsidR="002B487B">
      <w:rPr>
        <w:noProof/>
        <w:lang w:eastAsia="es-ES"/>
      </w:rPr>
      <w:drawing>
        <wp:anchor distT="0" distB="0" distL="114300" distR="114300" simplePos="0" relativeHeight="251661312" behindDoc="1" locked="0" layoutInCell="1" allowOverlap="1" wp14:anchorId="53494345" wp14:editId="0FAE2C81">
          <wp:simplePos x="0" y="0"/>
          <wp:positionH relativeFrom="column">
            <wp:posOffset>3175</wp:posOffset>
          </wp:positionH>
          <wp:positionV relativeFrom="paragraph">
            <wp:posOffset>54610</wp:posOffset>
          </wp:positionV>
          <wp:extent cx="2243667" cy="585122"/>
          <wp:effectExtent l="0" t="0" r="4445" b="0"/>
          <wp:wrapNone/>
          <wp:docPr id="32425811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a:ext>
                    </a:extLst>
                  </a:blip>
                  <a:srcRect/>
                  <a:stretch>
                    <a:fillRect/>
                  </a:stretch>
                </pic:blipFill>
                <pic:spPr bwMode="auto">
                  <a:xfrm>
                    <a:off x="0" y="0"/>
                    <a:ext cx="2243667" cy="585122"/>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Forma&#10;&#10;&#10;&#10;&#10;&#10;&#10;&#10;&#10;&#10;&#10;&#10;&#10;&#10;&#10;&#10;&#10;&#10;Descripción generada automáticamente con confianza baja" style="width:384pt;height:384pt;visibility:visible;mso-wrap-style:square" o:bullet="t">
        <v:imagedata r:id="rId1" o:title="Forma&#10;&#10;&#10;&#10;&#10;&#10;&#10;&#10;&#10;&#10;&#10;&#10;&#10;&#10;&#10;&#10;&#10;&#10;Descripción generada automáticamente con confianza baja"/>
      </v:shape>
    </w:pict>
  </w:numPicBullet>
  <w:abstractNum w:abstractNumId="0" w15:restartNumberingAfterBreak="0">
    <w:nsid w:val="0106724D"/>
    <w:multiLevelType w:val="multilevel"/>
    <w:tmpl w:val="9BDA6B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202234"/>
    <w:multiLevelType w:val="multilevel"/>
    <w:tmpl w:val="9BDA6B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4203BE"/>
    <w:multiLevelType w:val="hybridMultilevel"/>
    <w:tmpl w:val="040EDDA0"/>
    <w:lvl w:ilvl="0" w:tplc="040A000F">
      <w:start w:val="1"/>
      <w:numFmt w:val="decimal"/>
      <w:lvlText w:val="%1."/>
      <w:lvlJc w:val="left"/>
      <w:pPr>
        <w:ind w:left="587" w:hanging="360"/>
      </w:pPr>
      <w:rPr>
        <w:rFonts w:hint="default"/>
      </w:rPr>
    </w:lvl>
    <w:lvl w:ilvl="1" w:tplc="040A000F">
      <w:start w:val="1"/>
      <w:numFmt w:val="decimal"/>
      <w:lvlText w:val="%2."/>
      <w:lvlJc w:val="left"/>
      <w:pPr>
        <w:ind w:left="1440" w:hanging="360"/>
      </w:p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45856DC"/>
    <w:multiLevelType w:val="multilevel"/>
    <w:tmpl w:val="D910C7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66200D5"/>
    <w:multiLevelType w:val="multilevel"/>
    <w:tmpl w:val="5442C6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A0C1C89"/>
    <w:multiLevelType w:val="hybridMultilevel"/>
    <w:tmpl w:val="BC9C2B2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10815B67"/>
    <w:multiLevelType w:val="multilevel"/>
    <w:tmpl w:val="AF5C0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A1F482F"/>
    <w:multiLevelType w:val="multilevel"/>
    <w:tmpl w:val="9BDA6B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18E089F"/>
    <w:multiLevelType w:val="multilevel"/>
    <w:tmpl w:val="F6FA79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5777F83"/>
    <w:multiLevelType w:val="hybridMultilevel"/>
    <w:tmpl w:val="CAF6C746"/>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0" w15:restartNumberingAfterBreak="0">
    <w:nsid w:val="2665260D"/>
    <w:multiLevelType w:val="hybridMultilevel"/>
    <w:tmpl w:val="0700040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1" w15:restartNumberingAfterBreak="0">
    <w:nsid w:val="26FD7F52"/>
    <w:multiLevelType w:val="multilevel"/>
    <w:tmpl w:val="A32676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7BF7B12"/>
    <w:multiLevelType w:val="multilevel"/>
    <w:tmpl w:val="9BDA6B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7C56F0D"/>
    <w:multiLevelType w:val="hybridMultilevel"/>
    <w:tmpl w:val="062C3574"/>
    <w:lvl w:ilvl="0" w:tplc="040A000F">
      <w:start w:val="5"/>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4" w15:restartNumberingAfterBreak="0">
    <w:nsid w:val="27D0092F"/>
    <w:multiLevelType w:val="hybridMultilevel"/>
    <w:tmpl w:val="E63AEE0A"/>
    <w:lvl w:ilvl="0" w:tplc="73E0B576">
      <w:numFmt w:val="bullet"/>
      <w:lvlText w:val="-"/>
      <w:lvlJc w:val="left"/>
      <w:pPr>
        <w:ind w:left="720" w:hanging="360"/>
      </w:pPr>
      <w:rPr>
        <w:rFonts w:ascii="Arial" w:eastAsia="Arial"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28BA213A"/>
    <w:multiLevelType w:val="hybridMultilevel"/>
    <w:tmpl w:val="C0AC1E04"/>
    <w:lvl w:ilvl="0" w:tplc="DCBCCAE4">
      <w:start w:val="1"/>
      <w:numFmt w:val="bullet"/>
      <w:lvlText w:val=""/>
      <w:lvlJc w:val="left"/>
      <w:pPr>
        <w:ind w:left="454" w:hanging="227"/>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6" w15:restartNumberingAfterBreak="0">
    <w:nsid w:val="2D247B50"/>
    <w:multiLevelType w:val="hybridMultilevel"/>
    <w:tmpl w:val="D9C88854"/>
    <w:lvl w:ilvl="0" w:tplc="8D428920">
      <w:start w:val="1"/>
      <w:numFmt w:val="bullet"/>
      <w:lvlText w:val=""/>
      <w:lvlPicBulletId w:val="0"/>
      <w:lvlJc w:val="left"/>
      <w:pPr>
        <w:tabs>
          <w:tab w:val="num" w:pos="720"/>
        </w:tabs>
        <w:ind w:left="720" w:hanging="360"/>
      </w:pPr>
      <w:rPr>
        <w:rFonts w:ascii="Symbol" w:hAnsi="Symbol" w:hint="default"/>
      </w:rPr>
    </w:lvl>
    <w:lvl w:ilvl="1" w:tplc="26F02C3A" w:tentative="1">
      <w:start w:val="1"/>
      <w:numFmt w:val="bullet"/>
      <w:lvlText w:val=""/>
      <w:lvlJc w:val="left"/>
      <w:pPr>
        <w:tabs>
          <w:tab w:val="num" w:pos="1440"/>
        </w:tabs>
        <w:ind w:left="1440" w:hanging="360"/>
      </w:pPr>
      <w:rPr>
        <w:rFonts w:ascii="Symbol" w:hAnsi="Symbol" w:hint="default"/>
      </w:rPr>
    </w:lvl>
    <w:lvl w:ilvl="2" w:tplc="137A79DE" w:tentative="1">
      <w:start w:val="1"/>
      <w:numFmt w:val="bullet"/>
      <w:lvlText w:val=""/>
      <w:lvlJc w:val="left"/>
      <w:pPr>
        <w:tabs>
          <w:tab w:val="num" w:pos="2160"/>
        </w:tabs>
        <w:ind w:left="2160" w:hanging="360"/>
      </w:pPr>
      <w:rPr>
        <w:rFonts w:ascii="Symbol" w:hAnsi="Symbol" w:hint="default"/>
      </w:rPr>
    </w:lvl>
    <w:lvl w:ilvl="3" w:tplc="AEF21A60" w:tentative="1">
      <w:start w:val="1"/>
      <w:numFmt w:val="bullet"/>
      <w:lvlText w:val=""/>
      <w:lvlJc w:val="left"/>
      <w:pPr>
        <w:tabs>
          <w:tab w:val="num" w:pos="2880"/>
        </w:tabs>
        <w:ind w:left="2880" w:hanging="360"/>
      </w:pPr>
      <w:rPr>
        <w:rFonts w:ascii="Symbol" w:hAnsi="Symbol" w:hint="default"/>
      </w:rPr>
    </w:lvl>
    <w:lvl w:ilvl="4" w:tplc="4F90DCE6" w:tentative="1">
      <w:start w:val="1"/>
      <w:numFmt w:val="bullet"/>
      <w:lvlText w:val=""/>
      <w:lvlJc w:val="left"/>
      <w:pPr>
        <w:tabs>
          <w:tab w:val="num" w:pos="3600"/>
        </w:tabs>
        <w:ind w:left="3600" w:hanging="360"/>
      </w:pPr>
      <w:rPr>
        <w:rFonts w:ascii="Symbol" w:hAnsi="Symbol" w:hint="default"/>
      </w:rPr>
    </w:lvl>
    <w:lvl w:ilvl="5" w:tplc="E2AED4E0" w:tentative="1">
      <w:start w:val="1"/>
      <w:numFmt w:val="bullet"/>
      <w:lvlText w:val=""/>
      <w:lvlJc w:val="left"/>
      <w:pPr>
        <w:tabs>
          <w:tab w:val="num" w:pos="4320"/>
        </w:tabs>
        <w:ind w:left="4320" w:hanging="360"/>
      </w:pPr>
      <w:rPr>
        <w:rFonts w:ascii="Symbol" w:hAnsi="Symbol" w:hint="default"/>
      </w:rPr>
    </w:lvl>
    <w:lvl w:ilvl="6" w:tplc="12D82D20" w:tentative="1">
      <w:start w:val="1"/>
      <w:numFmt w:val="bullet"/>
      <w:lvlText w:val=""/>
      <w:lvlJc w:val="left"/>
      <w:pPr>
        <w:tabs>
          <w:tab w:val="num" w:pos="5040"/>
        </w:tabs>
        <w:ind w:left="5040" w:hanging="360"/>
      </w:pPr>
      <w:rPr>
        <w:rFonts w:ascii="Symbol" w:hAnsi="Symbol" w:hint="default"/>
      </w:rPr>
    </w:lvl>
    <w:lvl w:ilvl="7" w:tplc="ACAAA7C6" w:tentative="1">
      <w:start w:val="1"/>
      <w:numFmt w:val="bullet"/>
      <w:lvlText w:val=""/>
      <w:lvlJc w:val="left"/>
      <w:pPr>
        <w:tabs>
          <w:tab w:val="num" w:pos="5760"/>
        </w:tabs>
        <w:ind w:left="5760" w:hanging="360"/>
      </w:pPr>
      <w:rPr>
        <w:rFonts w:ascii="Symbol" w:hAnsi="Symbol" w:hint="default"/>
      </w:rPr>
    </w:lvl>
    <w:lvl w:ilvl="8" w:tplc="E05E3A48"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2E466638"/>
    <w:multiLevelType w:val="multilevel"/>
    <w:tmpl w:val="6456B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0AB5102"/>
    <w:multiLevelType w:val="multilevel"/>
    <w:tmpl w:val="E0CED5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9064F7F"/>
    <w:multiLevelType w:val="hybridMultilevel"/>
    <w:tmpl w:val="5DDEA25A"/>
    <w:lvl w:ilvl="0" w:tplc="C060C866">
      <w:start w:val="1"/>
      <w:numFmt w:val="bullet"/>
      <w:lvlText w:val=""/>
      <w:lvlJc w:val="left"/>
      <w:pPr>
        <w:ind w:left="567" w:hanging="227"/>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3A156E78"/>
    <w:multiLevelType w:val="multilevel"/>
    <w:tmpl w:val="A4665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01E6E1F"/>
    <w:multiLevelType w:val="multilevel"/>
    <w:tmpl w:val="DA2C55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1383840"/>
    <w:multiLevelType w:val="multilevel"/>
    <w:tmpl w:val="7208FE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12E2463"/>
    <w:multiLevelType w:val="multilevel"/>
    <w:tmpl w:val="4DE82F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13C3DF0"/>
    <w:multiLevelType w:val="hybridMultilevel"/>
    <w:tmpl w:val="8FEE182A"/>
    <w:lvl w:ilvl="0" w:tplc="6598ED6C">
      <w:start w:val="1"/>
      <w:numFmt w:val="bullet"/>
      <w:pStyle w:val="Prrafodelista"/>
      <w:lvlText w:val=""/>
      <w:lvlJc w:val="left"/>
      <w:pPr>
        <w:ind w:left="454" w:hanging="227"/>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550321B3"/>
    <w:multiLevelType w:val="hybridMultilevel"/>
    <w:tmpl w:val="054C9A46"/>
    <w:lvl w:ilvl="0" w:tplc="F314D4C4">
      <w:numFmt w:val="bullet"/>
      <w:lvlText w:val="-"/>
      <w:lvlJc w:val="left"/>
      <w:pPr>
        <w:ind w:left="360" w:hanging="360"/>
      </w:pPr>
      <w:rPr>
        <w:rFonts w:ascii="Arial Nova" w:eastAsia="Arial Nova" w:hAnsi="Arial Nova" w:cs="Arial Nova"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6" w15:restartNumberingAfterBreak="0">
    <w:nsid w:val="60502797"/>
    <w:multiLevelType w:val="hybridMultilevel"/>
    <w:tmpl w:val="EF82FC5A"/>
    <w:lvl w:ilvl="0" w:tplc="EB7EC0BE">
      <w:numFmt w:val="bullet"/>
      <w:lvlText w:val="-"/>
      <w:lvlJc w:val="left"/>
      <w:pPr>
        <w:ind w:left="720" w:hanging="360"/>
      </w:pPr>
      <w:rPr>
        <w:rFonts w:ascii="Arial Nova" w:eastAsia="Times New Roman" w:hAnsi="Arial Nova"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15:restartNumberingAfterBreak="0">
    <w:nsid w:val="68C52BB5"/>
    <w:multiLevelType w:val="multilevel"/>
    <w:tmpl w:val="9BDA6B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C6703DD"/>
    <w:multiLevelType w:val="hybridMultilevel"/>
    <w:tmpl w:val="A0CE8E22"/>
    <w:lvl w:ilvl="0" w:tplc="F314D4C4">
      <w:numFmt w:val="bullet"/>
      <w:lvlText w:val="-"/>
      <w:lvlJc w:val="left"/>
      <w:pPr>
        <w:ind w:left="720" w:hanging="360"/>
      </w:pPr>
      <w:rPr>
        <w:rFonts w:ascii="Arial Nova" w:eastAsia="Arial Nova" w:hAnsi="Arial Nova" w:cs="Arial Nova"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15:restartNumberingAfterBreak="0">
    <w:nsid w:val="760E4255"/>
    <w:multiLevelType w:val="multilevel"/>
    <w:tmpl w:val="ED06BC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8DC5565"/>
    <w:multiLevelType w:val="multilevel"/>
    <w:tmpl w:val="82B6EF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A182AEF"/>
    <w:multiLevelType w:val="hybridMultilevel"/>
    <w:tmpl w:val="8AFEA62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15:restartNumberingAfterBreak="0">
    <w:nsid w:val="7A334884"/>
    <w:multiLevelType w:val="multilevel"/>
    <w:tmpl w:val="614AA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4"/>
  </w:num>
  <w:num w:numId="2">
    <w:abstractNumId w:val="16"/>
  </w:num>
  <w:num w:numId="3">
    <w:abstractNumId w:val="21"/>
  </w:num>
  <w:num w:numId="4">
    <w:abstractNumId w:val="22"/>
  </w:num>
  <w:num w:numId="5">
    <w:abstractNumId w:val="32"/>
  </w:num>
  <w:num w:numId="6">
    <w:abstractNumId w:val="13"/>
  </w:num>
  <w:num w:numId="7">
    <w:abstractNumId w:val="30"/>
  </w:num>
  <w:num w:numId="8">
    <w:abstractNumId w:val="4"/>
  </w:num>
  <w:num w:numId="9">
    <w:abstractNumId w:val="9"/>
  </w:num>
  <w:num w:numId="10">
    <w:abstractNumId w:val="29"/>
  </w:num>
  <w:num w:numId="11">
    <w:abstractNumId w:val="8"/>
  </w:num>
  <w:num w:numId="12">
    <w:abstractNumId w:val="18"/>
  </w:num>
  <w:num w:numId="13">
    <w:abstractNumId w:val="6"/>
  </w:num>
  <w:num w:numId="14">
    <w:abstractNumId w:val="17"/>
  </w:num>
  <w:num w:numId="15">
    <w:abstractNumId w:val="3"/>
  </w:num>
  <w:num w:numId="16">
    <w:abstractNumId w:val="20"/>
  </w:num>
  <w:num w:numId="17">
    <w:abstractNumId w:val="11"/>
  </w:num>
  <w:num w:numId="18">
    <w:abstractNumId w:val="23"/>
  </w:num>
  <w:num w:numId="19">
    <w:abstractNumId w:val="10"/>
  </w:num>
  <w:num w:numId="20">
    <w:abstractNumId w:val="19"/>
  </w:num>
  <w:num w:numId="21">
    <w:abstractNumId w:val="24"/>
  </w:num>
  <w:num w:numId="22">
    <w:abstractNumId w:val="15"/>
  </w:num>
  <w:num w:numId="23">
    <w:abstractNumId w:val="2"/>
  </w:num>
  <w:num w:numId="24">
    <w:abstractNumId w:val="25"/>
  </w:num>
  <w:num w:numId="25">
    <w:abstractNumId w:val="28"/>
  </w:num>
  <w:num w:numId="26">
    <w:abstractNumId w:val="5"/>
  </w:num>
  <w:num w:numId="27">
    <w:abstractNumId w:val="26"/>
  </w:num>
  <w:num w:numId="28">
    <w:abstractNumId w:val="31"/>
  </w:num>
  <w:num w:numId="29">
    <w:abstractNumId w:val="27"/>
  </w:num>
  <w:num w:numId="30">
    <w:abstractNumId w:val="12"/>
  </w:num>
  <w:num w:numId="31">
    <w:abstractNumId w:val="7"/>
  </w:num>
  <w:num w:numId="32">
    <w:abstractNumId w:val="0"/>
  </w:num>
  <w:num w:numId="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26C9"/>
    <w:rsid w:val="00004F32"/>
    <w:rsid w:val="000123F0"/>
    <w:rsid w:val="00024D74"/>
    <w:rsid w:val="00030E85"/>
    <w:rsid w:val="000367CC"/>
    <w:rsid w:val="00044C55"/>
    <w:rsid w:val="00047335"/>
    <w:rsid w:val="00047618"/>
    <w:rsid w:val="000506EE"/>
    <w:rsid w:val="00062A1A"/>
    <w:rsid w:val="00064C7C"/>
    <w:rsid w:val="00071B9E"/>
    <w:rsid w:val="00071EF7"/>
    <w:rsid w:val="00072B86"/>
    <w:rsid w:val="000839BA"/>
    <w:rsid w:val="00096BE1"/>
    <w:rsid w:val="000A7ACE"/>
    <w:rsid w:val="000A7FE2"/>
    <w:rsid w:val="000B27A0"/>
    <w:rsid w:val="000C3396"/>
    <w:rsid w:val="000E020C"/>
    <w:rsid w:val="00114254"/>
    <w:rsid w:val="00115C31"/>
    <w:rsid w:val="001160EE"/>
    <w:rsid w:val="0014249A"/>
    <w:rsid w:val="001533B2"/>
    <w:rsid w:val="00197634"/>
    <w:rsid w:val="001A7DDC"/>
    <w:rsid w:val="002113AE"/>
    <w:rsid w:val="00213DB5"/>
    <w:rsid w:val="002247E1"/>
    <w:rsid w:val="00242E13"/>
    <w:rsid w:val="00290A5E"/>
    <w:rsid w:val="002A260C"/>
    <w:rsid w:val="002B487B"/>
    <w:rsid w:val="002C7971"/>
    <w:rsid w:val="002D42AE"/>
    <w:rsid w:val="002D5095"/>
    <w:rsid w:val="002F0F0D"/>
    <w:rsid w:val="002F6A15"/>
    <w:rsid w:val="002F6C8D"/>
    <w:rsid w:val="003050E5"/>
    <w:rsid w:val="00320102"/>
    <w:rsid w:val="00341DFF"/>
    <w:rsid w:val="003459EB"/>
    <w:rsid w:val="00346E9C"/>
    <w:rsid w:val="003B1372"/>
    <w:rsid w:val="003C0833"/>
    <w:rsid w:val="003C4F66"/>
    <w:rsid w:val="003D2C63"/>
    <w:rsid w:val="003D32C8"/>
    <w:rsid w:val="003F5722"/>
    <w:rsid w:val="00403F6E"/>
    <w:rsid w:val="00416D9F"/>
    <w:rsid w:val="0042368C"/>
    <w:rsid w:val="00441D32"/>
    <w:rsid w:val="004859BC"/>
    <w:rsid w:val="00487265"/>
    <w:rsid w:val="004C3352"/>
    <w:rsid w:val="004D0C2B"/>
    <w:rsid w:val="004E4577"/>
    <w:rsid w:val="004F4B67"/>
    <w:rsid w:val="00503415"/>
    <w:rsid w:val="00512CD5"/>
    <w:rsid w:val="00513B06"/>
    <w:rsid w:val="0052059A"/>
    <w:rsid w:val="0056482C"/>
    <w:rsid w:val="00571BB2"/>
    <w:rsid w:val="00580717"/>
    <w:rsid w:val="00580ED7"/>
    <w:rsid w:val="00584784"/>
    <w:rsid w:val="00590C8E"/>
    <w:rsid w:val="00591A23"/>
    <w:rsid w:val="00597EEA"/>
    <w:rsid w:val="005A7816"/>
    <w:rsid w:val="005D3A6E"/>
    <w:rsid w:val="005D5D13"/>
    <w:rsid w:val="005D68C9"/>
    <w:rsid w:val="005E1D6B"/>
    <w:rsid w:val="005E7B69"/>
    <w:rsid w:val="005F4821"/>
    <w:rsid w:val="00604FF2"/>
    <w:rsid w:val="0061566D"/>
    <w:rsid w:val="006226C9"/>
    <w:rsid w:val="006255EE"/>
    <w:rsid w:val="00633BF8"/>
    <w:rsid w:val="00642C04"/>
    <w:rsid w:val="00663151"/>
    <w:rsid w:val="00667099"/>
    <w:rsid w:val="00667FF4"/>
    <w:rsid w:val="00675570"/>
    <w:rsid w:val="00696EF8"/>
    <w:rsid w:val="006A4091"/>
    <w:rsid w:val="006A7193"/>
    <w:rsid w:val="006B22FD"/>
    <w:rsid w:val="006E5A74"/>
    <w:rsid w:val="006F0B7D"/>
    <w:rsid w:val="006F2D7F"/>
    <w:rsid w:val="00705E63"/>
    <w:rsid w:val="0071126C"/>
    <w:rsid w:val="00713A6E"/>
    <w:rsid w:val="007235CF"/>
    <w:rsid w:val="00743F3D"/>
    <w:rsid w:val="007A0CD6"/>
    <w:rsid w:val="007A3B9A"/>
    <w:rsid w:val="007B3149"/>
    <w:rsid w:val="007C4B7E"/>
    <w:rsid w:val="007D0CD6"/>
    <w:rsid w:val="007F4D7F"/>
    <w:rsid w:val="00803EB3"/>
    <w:rsid w:val="0080542D"/>
    <w:rsid w:val="008075DB"/>
    <w:rsid w:val="00821956"/>
    <w:rsid w:val="00836A6E"/>
    <w:rsid w:val="00845439"/>
    <w:rsid w:val="00846E25"/>
    <w:rsid w:val="00851064"/>
    <w:rsid w:val="00856378"/>
    <w:rsid w:val="00863F20"/>
    <w:rsid w:val="00865B1A"/>
    <w:rsid w:val="0086740A"/>
    <w:rsid w:val="0088225E"/>
    <w:rsid w:val="00882EB4"/>
    <w:rsid w:val="008A4208"/>
    <w:rsid w:val="008B1970"/>
    <w:rsid w:val="008B371C"/>
    <w:rsid w:val="008B702C"/>
    <w:rsid w:val="008E78ED"/>
    <w:rsid w:val="008F03CA"/>
    <w:rsid w:val="00904B43"/>
    <w:rsid w:val="0091646A"/>
    <w:rsid w:val="00956A0C"/>
    <w:rsid w:val="0096017B"/>
    <w:rsid w:val="00962A72"/>
    <w:rsid w:val="00963DDE"/>
    <w:rsid w:val="009649B3"/>
    <w:rsid w:val="009729CA"/>
    <w:rsid w:val="00973D67"/>
    <w:rsid w:val="00987A5F"/>
    <w:rsid w:val="009A0D53"/>
    <w:rsid w:val="009A38AA"/>
    <w:rsid w:val="009B003F"/>
    <w:rsid w:val="009B729C"/>
    <w:rsid w:val="009B7C07"/>
    <w:rsid w:val="009C7752"/>
    <w:rsid w:val="009C7D8E"/>
    <w:rsid w:val="009D0195"/>
    <w:rsid w:val="009D3D09"/>
    <w:rsid w:val="009E2314"/>
    <w:rsid w:val="009E56F1"/>
    <w:rsid w:val="009E7860"/>
    <w:rsid w:val="009F2CAC"/>
    <w:rsid w:val="00A0572C"/>
    <w:rsid w:val="00A2166B"/>
    <w:rsid w:val="00A21E6F"/>
    <w:rsid w:val="00A22BF4"/>
    <w:rsid w:val="00A240B3"/>
    <w:rsid w:val="00A2607B"/>
    <w:rsid w:val="00A3014E"/>
    <w:rsid w:val="00A3047B"/>
    <w:rsid w:val="00A55D31"/>
    <w:rsid w:val="00A62126"/>
    <w:rsid w:val="00A621C4"/>
    <w:rsid w:val="00A66C37"/>
    <w:rsid w:val="00A901DE"/>
    <w:rsid w:val="00A978F3"/>
    <w:rsid w:val="00AB34BD"/>
    <w:rsid w:val="00AC26CF"/>
    <w:rsid w:val="00AC2FC2"/>
    <w:rsid w:val="00AD0956"/>
    <w:rsid w:val="00AD7B4E"/>
    <w:rsid w:val="00AE6E47"/>
    <w:rsid w:val="00B07DA1"/>
    <w:rsid w:val="00B12FA8"/>
    <w:rsid w:val="00B13C4E"/>
    <w:rsid w:val="00B16995"/>
    <w:rsid w:val="00B25567"/>
    <w:rsid w:val="00B30C7C"/>
    <w:rsid w:val="00B40B08"/>
    <w:rsid w:val="00B524F6"/>
    <w:rsid w:val="00B60CA7"/>
    <w:rsid w:val="00BA69A9"/>
    <w:rsid w:val="00BB2646"/>
    <w:rsid w:val="00BB60F1"/>
    <w:rsid w:val="00BB7507"/>
    <w:rsid w:val="00BD3AB0"/>
    <w:rsid w:val="00BD762F"/>
    <w:rsid w:val="00BE0A7A"/>
    <w:rsid w:val="00BE1E1C"/>
    <w:rsid w:val="00BE66CD"/>
    <w:rsid w:val="00BF7875"/>
    <w:rsid w:val="00C07BD2"/>
    <w:rsid w:val="00C227C4"/>
    <w:rsid w:val="00C32065"/>
    <w:rsid w:val="00C42C42"/>
    <w:rsid w:val="00C5204F"/>
    <w:rsid w:val="00C533A1"/>
    <w:rsid w:val="00C57007"/>
    <w:rsid w:val="00C61527"/>
    <w:rsid w:val="00C632AF"/>
    <w:rsid w:val="00C73BE4"/>
    <w:rsid w:val="00C85A8A"/>
    <w:rsid w:val="00C91FB2"/>
    <w:rsid w:val="00CA0090"/>
    <w:rsid w:val="00CA3F57"/>
    <w:rsid w:val="00CA5CD1"/>
    <w:rsid w:val="00CA6ED6"/>
    <w:rsid w:val="00CC559C"/>
    <w:rsid w:val="00CF2355"/>
    <w:rsid w:val="00D01293"/>
    <w:rsid w:val="00D246C6"/>
    <w:rsid w:val="00D35906"/>
    <w:rsid w:val="00D37075"/>
    <w:rsid w:val="00D51677"/>
    <w:rsid w:val="00D53C26"/>
    <w:rsid w:val="00D62AF9"/>
    <w:rsid w:val="00D7328D"/>
    <w:rsid w:val="00D90A9C"/>
    <w:rsid w:val="00D92D99"/>
    <w:rsid w:val="00DB25D0"/>
    <w:rsid w:val="00DB2AB5"/>
    <w:rsid w:val="00DB79BB"/>
    <w:rsid w:val="00DC39D1"/>
    <w:rsid w:val="00DE2EB6"/>
    <w:rsid w:val="00E055A9"/>
    <w:rsid w:val="00E17EC1"/>
    <w:rsid w:val="00E27A0C"/>
    <w:rsid w:val="00E357D0"/>
    <w:rsid w:val="00E401F0"/>
    <w:rsid w:val="00E538E3"/>
    <w:rsid w:val="00E55914"/>
    <w:rsid w:val="00E57289"/>
    <w:rsid w:val="00E638AB"/>
    <w:rsid w:val="00E919BE"/>
    <w:rsid w:val="00EA6BE2"/>
    <w:rsid w:val="00EA72AB"/>
    <w:rsid w:val="00EB406F"/>
    <w:rsid w:val="00EC0DF9"/>
    <w:rsid w:val="00F02096"/>
    <w:rsid w:val="00F063CC"/>
    <w:rsid w:val="00F26CE2"/>
    <w:rsid w:val="00F30EE0"/>
    <w:rsid w:val="00F31EBB"/>
    <w:rsid w:val="00F40D86"/>
    <w:rsid w:val="00F42809"/>
    <w:rsid w:val="00F440D7"/>
    <w:rsid w:val="00F454B5"/>
    <w:rsid w:val="00F47C6B"/>
    <w:rsid w:val="00F51B95"/>
    <w:rsid w:val="00F72C89"/>
    <w:rsid w:val="00F90938"/>
    <w:rsid w:val="00F91F97"/>
    <w:rsid w:val="00FA2B7F"/>
    <w:rsid w:val="00FB3C5E"/>
    <w:rsid w:val="00FB52F4"/>
    <w:rsid w:val="00FC0EDE"/>
    <w:rsid w:val="00FD28D7"/>
    <w:rsid w:val="00FF2491"/>
    <w:rsid w:val="02E0C4AB"/>
    <w:rsid w:val="03095AD0"/>
    <w:rsid w:val="031AD8A6"/>
    <w:rsid w:val="04C45B01"/>
    <w:rsid w:val="07660291"/>
    <w:rsid w:val="07D82E09"/>
    <w:rsid w:val="08159557"/>
    <w:rsid w:val="08D468CA"/>
    <w:rsid w:val="09F3D8B3"/>
    <w:rsid w:val="0A22E434"/>
    <w:rsid w:val="0A9CE262"/>
    <w:rsid w:val="0CD33A6B"/>
    <w:rsid w:val="0D346B46"/>
    <w:rsid w:val="0D395222"/>
    <w:rsid w:val="0DDE5EF7"/>
    <w:rsid w:val="0DFD0C65"/>
    <w:rsid w:val="0EECE45B"/>
    <w:rsid w:val="0F87508B"/>
    <w:rsid w:val="100955D0"/>
    <w:rsid w:val="12483902"/>
    <w:rsid w:val="1273B1A9"/>
    <w:rsid w:val="1399F89D"/>
    <w:rsid w:val="13DD04E2"/>
    <w:rsid w:val="142DB918"/>
    <w:rsid w:val="14532CEA"/>
    <w:rsid w:val="18494C4E"/>
    <w:rsid w:val="1864F9DD"/>
    <w:rsid w:val="1AEE0F11"/>
    <w:rsid w:val="1BE95242"/>
    <w:rsid w:val="1C05F700"/>
    <w:rsid w:val="1D22BFA2"/>
    <w:rsid w:val="21E04F8C"/>
    <w:rsid w:val="230B81CF"/>
    <w:rsid w:val="23E2138D"/>
    <w:rsid w:val="2428BEF3"/>
    <w:rsid w:val="267F66AD"/>
    <w:rsid w:val="29469D73"/>
    <w:rsid w:val="2A715194"/>
    <w:rsid w:val="2A73AAA6"/>
    <w:rsid w:val="2B0EBB5E"/>
    <w:rsid w:val="2BA4A8A3"/>
    <w:rsid w:val="2CD429CD"/>
    <w:rsid w:val="2D50A015"/>
    <w:rsid w:val="2F17E4D0"/>
    <w:rsid w:val="2FAEADF6"/>
    <w:rsid w:val="304D6ED6"/>
    <w:rsid w:val="308D6C3A"/>
    <w:rsid w:val="30F8D87C"/>
    <w:rsid w:val="315FB99C"/>
    <w:rsid w:val="317704BB"/>
    <w:rsid w:val="31D8FB45"/>
    <w:rsid w:val="3217B469"/>
    <w:rsid w:val="3255A52A"/>
    <w:rsid w:val="33B9A0CA"/>
    <w:rsid w:val="345DB0F9"/>
    <w:rsid w:val="34B53EC2"/>
    <w:rsid w:val="34C5604E"/>
    <w:rsid w:val="37DDCFAB"/>
    <w:rsid w:val="38F65920"/>
    <w:rsid w:val="394863FC"/>
    <w:rsid w:val="39DFD5D1"/>
    <w:rsid w:val="3AE80C35"/>
    <w:rsid w:val="3D7AB38D"/>
    <w:rsid w:val="3E78A7FC"/>
    <w:rsid w:val="40112442"/>
    <w:rsid w:val="402FA025"/>
    <w:rsid w:val="4096942F"/>
    <w:rsid w:val="420F3031"/>
    <w:rsid w:val="4485846C"/>
    <w:rsid w:val="451259B1"/>
    <w:rsid w:val="45DFA99D"/>
    <w:rsid w:val="4791A4C6"/>
    <w:rsid w:val="481909BB"/>
    <w:rsid w:val="488FF796"/>
    <w:rsid w:val="4917B08C"/>
    <w:rsid w:val="4A8BC4E9"/>
    <w:rsid w:val="4AF20B11"/>
    <w:rsid w:val="4B0868B0"/>
    <w:rsid w:val="4E5173C3"/>
    <w:rsid w:val="4EBB83DA"/>
    <w:rsid w:val="4F5AAFB4"/>
    <w:rsid w:val="50E8CA66"/>
    <w:rsid w:val="520760C3"/>
    <w:rsid w:val="5265597C"/>
    <w:rsid w:val="52C02DB2"/>
    <w:rsid w:val="5365BE8D"/>
    <w:rsid w:val="539CA940"/>
    <w:rsid w:val="5521778F"/>
    <w:rsid w:val="55385F62"/>
    <w:rsid w:val="560C0614"/>
    <w:rsid w:val="57F11A40"/>
    <w:rsid w:val="5956A7EA"/>
    <w:rsid w:val="5984156F"/>
    <w:rsid w:val="5ACBCC57"/>
    <w:rsid w:val="5BCE150D"/>
    <w:rsid w:val="5DE61A20"/>
    <w:rsid w:val="5E54B6F1"/>
    <w:rsid w:val="5E65E4BD"/>
    <w:rsid w:val="5F013020"/>
    <w:rsid w:val="5F972873"/>
    <w:rsid w:val="61BD4EFC"/>
    <w:rsid w:val="632D0664"/>
    <w:rsid w:val="65DC4E0F"/>
    <w:rsid w:val="67EF8947"/>
    <w:rsid w:val="6930C529"/>
    <w:rsid w:val="696A3CDA"/>
    <w:rsid w:val="6993D675"/>
    <w:rsid w:val="6A17B167"/>
    <w:rsid w:val="6AB16FF5"/>
    <w:rsid w:val="6BA1CD42"/>
    <w:rsid w:val="6D60CEA3"/>
    <w:rsid w:val="6D759B85"/>
    <w:rsid w:val="6DE74B17"/>
    <w:rsid w:val="6E53B476"/>
    <w:rsid w:val="6E61D182"/>
    <w:rsid w:val="70C75EF2"/>
    <w:rsid w:val="713BEB58"/>
    <w:rsid w:val="731F9043"/>
    <w:rsid w:val="734DB929"/>
    <w:rsid w:val="73C06A77"/>
    <w:rsid w:val="73EEEC58"/>
    <w:rsid w:val="753906E3"/>
    <w:rsid w:val="7581FF9B"/>
    <w:rsid w:val="77F133DA"/>
    <w:rsid w:val="794BFFA5"/>
    <w:rsid w:val="7B14CF38"/>
    <w:rsid w:val="7B611093"/>
    <w:rsid w:val="7C41B97D"/>
    <w:rsid w:val="7E40D6B0"/>
    <w:rsid w:val="7F755FA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2"/>
    </o:shapelayout>
  </w:shapeDefaults>
  <w:decimalSymbol w:val=","/>
  <w:listSeparator w:val=";"/>
  <w14:docId w14:val="48482267"/>
  <w15:chartTrackingRefBased/>
  <w15:docId w15:val="{8CB6562B-A0E7-4FE0-9A33-4857817CC7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45439"/>
    <w:pPr>
      <w:pBdr>
        <w:bar w:val="single" w:sz="4" w:color="000000"/>
      </w:pBdr>
      <w:spacing w:after="120" w:line="336" w:lineRule="auto"/>
    </w:pPr>
    <w:rPr>
      <w:rFonts w:ascii="Arial Nova" w:eastAsia="Arial Nova" w:hAnsi="Arial Nova" w:cs="Arial Nova"/>
      <w:sz w:val="21"/>
      <w:szCs w:val="21"/>
      <w:lang w:eastAsia="es-ES"/>
    </w:rPr>
  </w:style>
  <w:style w:type="paragraph" w:styleId="Ttulo1">
    <w:name w:val="heading 1"/>
    <w:basedOn w:val="Normal"/>
    <w:next w:val="Normal"/>
    <w:uiPriority w:val="9"/>
    <w:qFormat/>
    <w:rsid w:val="00DE2EB6"/>
    <w:pPr>
      <w:spacing w:after="360" w:line="216" w:lineRule="auto"/>
      <w:outlineLvl w:val="0"/>
    </w:pPr>
    <w:rPr>
      <w:rFonts w:ascii="Arial Nova Cond" w:eastAsia="Arial Nova Cond" w:hAnsi="Arial Nova Cond" w:cs="Arial Nova Cond"/>
      <w:b/>
      <w:bCs/>
      <w:color w:val="F18302"/>
      <w:sz w:val="52"/>
      <w:szCs w:val="52"/>
    </w:rPr>
  </w:style>
  <w:style w:type="paragraph" w:styleId="Ttulo2">
    <w:name w:val="heading 2"/>
    <w:basedOn w:val="Ttulo1"/>
    <w:next w:val="Normal"/>
    <w:uiPriority w:val="9"/>
    <w:unhideWhenUsed/>
    <w:qFormat/>
    <w:rsid w:val="00C73BE4"/>
    <w:pPr>
      <w:spacing w:after="240" w:line="310" w:lineRule="exact"/>
      <w:outlineLvl w:val="1"/>
    </w:pPr>
    <w:rPr>
      <w:rFonts w:eastAsiaTheme="minorEastAsia" w:cstheme="minorBidi"/>
      <w:color w:val="000000" w:themeColor="text1"/>
      <w:sz w:val="36"/>
      <w:szCs w:val="36"/>
    </w:rPr>
  </w:style>
  <w:style w:type="paragraph" w:styleId="Ttulo3">
    <w:name w:val="heading 3"/>
    <w:basedOn w:val="Ttulo2"/>
    <w:next w:val="Normal"/>
    <w:uiPriority w:val="9"/>
    <w:unhideWhenUsed/>
    <w:qFormat/>
    <w:rsid w:val="00845439"/>
    <w:pPr>
      <w:spacing w:before="240"/>
      <w:outlineLvl w:val="2"/>
    </w:pPr>
    <w:rPr>
      <w:color w:val="F18302"/>
    </w:rPr>
  </w:style>
  <w:style w:type="paragraph" w:styleId="Ttulo4">
    <w:name w:val="heading 4"/>
    <w:basedOn w:val="Normal"/>
    <w:next w:val="Normal"/>
    <w:link w:val="Ttulo4Car"/>
    <w:uiPriority w:val="9"/>
    <w:unhideWhenUsed/>
    <w:qFormat/>
    <w:rsid w:val="00320102"/>
    <w:pPr>
      <w:outlineLvl w:val="3"/>
    </w:pPr>
    <w:rPr>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5E65E4BD"/>
    <w:pPr>
      <w:tabs>
        <w:tab w:val="center" w:pos="4252"/>
        <w:tab w:val="right" w:pos="8504"/>
      </w:tabs>
      <w:spacing w:after="0" w:line="240" w:lineRule="auto"/>
    </w:pPr>
    <w:rPr>
      <w:lang w:eastAsia="en-US"/>
    </w:rPr>
  </w:style>
  <w:style w:type="character" w:customStyle="1" w:styleId="EncabezadoCar">
    <w:name w:val="Encabezado Car"/>
    <w:basedOn w:val="Fuentedeprrafopredeter"/>
    <w:link w:val="Encabezado"/>
    <w:uiPriority w:val="99"/>
    <w:rsid w:val="006226C9"/>
  </w:style>
  <w:style w:type="paragraph" w:styleId="Piedepgina">
    <w:name w:val="footer"/>
    <w:basedOn w:val="Normal"/>
    <w:link w:val="PiedepginaCar"/>
    <w:uiPriority w:val="99"/>
    <w:unhideWhenUsed/>
    <w:rsid w:val="5E65E4BD"/>
    <w:pPr>
      <w:tabs>
        <w:tab w:val="center" w:pos="4252"/>
        <w:tab w:val="right" w:pos="8504"/>
      </w:tabs>
      <w:spacing w:after="0" w:line="240" w:lineRule="auto"/>
    </w:pPr>
    <w:rPr>
      <w:lang w:eastAsia="en-US"/>
    </w:rPr>
  </w:style>
  <w:style w:type="character" w:customStyle="1" w:styleId="PiedepginaCar">
    <w:name w:val="Pie de página Car"/>
    <w:basedOn w:val="Fuentedeprrafopredeter"/>
    <w:link w:val="Piedepgina"/>
    <w:uiPriority w:val="99"/>
    <w:rsid w:val="006226C9"/>
  </w:style>
  <w:style w:type="paragraph" w:styleId="Textodeglobo">
    <w:name w:val="Balloon Text"/>
    <w:basedOn w:val="Normal"/>
    <w:link w:val="TextodegloboCar"/>
    <w:uiPriority w:val="99"/>
    <w:semiHidden/>
    <w:unhideWhenUsed/>
    <w:rsid w:val="5E65E4BD"/>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30EE0"/>
    <w:rPr>
      <w:rFonts w:ascii="Segoe UI" w:hAnsi="Segoe UI" w:cs="Segoe UI"/>
      <w:sz w:val="18"/>
      <w:szCs w:val="18"/>
    </w:rPr>
  </w:style>
  <w:style w:type="paragraph" w:styleId="Prrafodelista">
    <w:name w:val="List Paragraph"/>
    <w:basedOn w:val="Normal"/>
    <w:uiPriority w:val="34"/>
    <w:qFormat/>
    <w:rsid w:val="00320102"/>
    <w:pPr>
      <w:numPr>
        <w:numId w:val="21"/>
      </w:numPr>
      <w:contextualSpacing/>
    </w:pPr>
  </w:style>
  <w:style w:type="character" w:styleId="Hipervnculo">
    <w:name w:val="Hyperlink"/>
    <w:rsid w:val="00865B1A"/>
    <w:rPr>
      <w:color w:val="0000FF"/>
      <w:u w:val="single"/>
    </w:rPr>
  </w:style>
  <w:style w:type="paragraph" w:styleId="NormalWeb">
    <w:name w:val="Normal (Web)"/>
    <w:basedOn w:val="Normal"/>
    <w:uiPriority w:val="99"/>
    <w:semiHidden/>
    <w:unhideWhenUsed/>
    <w:rsid w:val="5E65E4BD"/>
    <w:pPr>
      <w:spacing w:beforeAutospacing="1" w:afterAutospacing="1" w:line="240" w:lineRule="auto"/>
    </w:pPr>
    <w:rPr>
      <w:rFonts w:ascii="Times New Roman" w:eastAsia="Times New Roman" w:hAnsi="Times New Roman" w:cs="Times New Roman"/>
      <w:sz w:val="24"/>
      <w:szCs w:val="24"/>
    </w:rPr>
  </w:style>
  <w:style w:type="paragraph" w:customStyle="1" w:styleId="elementtoproof">
    <w:name w:val="elementtoproof"/>
    <w:basedOn w:val="Normal"/>
    <w:uiPriority w:val="1"/>
    <w:rsid w:val="5E65E4BD"/>
    <w:pPr>
      <w:spacing w:after="0" w:line="240" w:lineRule="auto"/>
    </w:pPr>
    <w:rPr>
      <w:rFonts w:eastAsiaTheme="minorEastAsia"/>
    </w:rPr>
  </w:style>
  <w:style w:type="character" w:customStyle="1" w:styleId="UnresolvedMention">
    <w:name w:val="Unresolved Mention"/>
    <w:basedOn w:val="Fuentedeprrafopredeter"/>
    <w:uiPriority w:val="99"/>
    <w:semiHidden/>
    <w:unhideWhenUsed/>
    <w:rsid w:val="000367CC"/>
    <w:rPr>
      <w:color w:val="605E5C"/>
      <w:shd w:val="clear" w:color="auto" w:fill="E1DFDD"/>
    </w:rPr>
  </w:style>
  <w:style w:type="paragraph" w:styleId="Sinespaciado">
    <w:name w:val="No Spacing"/>
    <w:uiPriority w:val="1"/>
    <w:qFormat/>
    <w:rsid w:val="632D0664"/>
    <w:pPr>
      <w:spacing w:after="0" w:line="310" w:lineRule="exact"/>
    </w:pPr>
    <w:rPr>
      <w:rFonts w:ascii="Arial Nova" w:eastAsia="Arial Nova" w:hAnsi="Arial Nova" w:cs="Arial Nova"/>
      <w:noProof/>
    </w:rPr>
  </w:style>
  <w:style w:type="paragraph" w:styleId="TDC1">
    <w:name w:val="toc 1"/>
    <w:basedOn w:val="Normal"/>
    <w:next w:val="Normal"/>
    <w:uiPriority w:val="39"/>
    <w:unhideWhenUsed/>
    <w:rsid w:val="5E65E4BD"/>
  </w:style>
  <w:style w:type="table" w:styleId="Tablaconcuadrcula">
    <w:name w:val="Table Grid"/>
    <w:basedOn w:val="Tabla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Cuadrculadetablaclara">
    <w:name w:val="Grid Table Light"/>
    <w:basedOn w:val="Tablanormal"/>
    <w:uiPriority w:val="4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Ttulo4Car">
    <w:name w:val="Título 4 Car"/>
    <w:basedOn w:val="Fuentedeprrafopredeter"/>
    <w:link w:val="Ttulo4"/>
    <w:uiPriority w:val="9"/>
    <w:rsid w:val="00320102"/>
    <w:rPr>
      <w:rFonts w:ascii="Arial Nova" w:eastAsia="Arial Nova" w:hAnsi="Arial Nova" w:cs="Arial Nova"/>
      <w:b/>
      <w:bCs/>
      <w:noProof/>
      <w:sz w:val="21"/>
      <w:szCs w:val="21"/>
      <w:lang w:eastAsia="es-ES"/>
    </w:rPr>
  </w:style>
  <w:style w:type="paragraph" w:styleId="Puesto">
    <w:name w:val="Title"/>
    <w:basedOn w:val="Ttulo1"/>
    <w:next w:val="Normal"/>
    <w:uiPriority w:val="10"/>
    <w:qFormat/>
    <w:rsid w:val="632D0664"/>
    <w:rPr>
      <w:b w:val="0"/>
      <w:bCs w:val="0"/>
      <w:sz w:val="90"/>
      <w:szCs w:val="90"/>
    </w:rPr>
  </w:style>
  <w:style w:type="paragraph" w:styleId="Subttulo">
    <w:name w:val="Subtitle"/>
    <w:basedOn w:val="Ttulo3"/>
    <w:next w:val="Normal"/>
    <w:uiPriority w:val="11"/>
    <w:qFormat/>
    <w:rsid w:val="29469D73"/>
    <w:pPr>
      <w:spacing w:after="160"/>
    </w:pPr>
  </w:style>
  <w:style w:type="paragraph" w:styleId="Cita">
    <w:name w:val="Quote"/>
    <w:basedOn w:val="Normal"/>
    <w:next w:val="Normal"/>
    <w:link w:val="CitaCar"/>
    <w:uiPriority w:val="29"/>
    <w:qFormat/>
    <w:rsid w:val="00320102"/>
    <w:pPr>
      <w:spacing w:before="200" w:after="160"/>
      <w:ind w:left="864" w:right="864"/>
      <w:jc w:val="center"/>
    </w:pPr>
    <w:rPr>
      <w:i/>
      <w:iCs/>
      <w:color w:val="404040" w:themeColor="text1" w:themeTint="BF"/>
    </w:rPr>
  </w:style>
  <w:style w:type="character" w:customStyle="1" w:styleId="CitaCar">
    <w:name w:val="Cita Car"/>
    <w:basedOn w:val="Fuentedeprrafopredeter"/>
    <w:link w:val="Cita"/>
    <w:uiPriority w:val="29"/>
    <w:rsid w:val="00320102"/>
    <w:rPr>
      <w:rFonts w:ascii="Arial Nova" w:eastAsia="Arial Nova" w:hAnsi="Arial Nova" w:cs="Arial Nova"/>
      <w:i/>
      <w:iCs/>
      <w:noProof/>
      <w:color w:val="404040" w:themeColor="text1" w:themeTint="BF"/>
      <w:sz w:val="21"/>
      <w:szCs w:val="21"/>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6961337">
      <w:bodyDiv w:val="1"/>
      <w:marLeft w:val="0"/>
      <w:marRight w:val="0"/>
      <w:marTop w:val="0"/>
      <w:marBottom w:val="0"/>
      <w:divBdr>
        <w:top w:val="none" w:sz="0" w:space="0" w:color="auto"/>
        <w:left w:val="none" w:sz="0" w:space="0" w:color="auto"/>
        <w:bottom w:val="none" w:sz="0" w:space="0" w:color="auto"/>
        <w:right w:val="none" w:sz="0" w:space="0" w:color="auto"/>
      </w:divBdr>
    </w:div>
    <w:div w:id="756904093">
      <w:bodyDiv w:val="1"/>
      <w:marLeft w:val="0"/>
      <w:marRight w:val="0"/>
      <w:marTop w:val="0"/>
      <w:marBottom w:val="0"/>
      <w:divBdr>
        <w:top w:val="none" w:sz="0" w:space="0" w:color="auto"/>
        <w:left w:val="none" w:sz="0" w:space="0" w:color="auto"/>
        <w:bottom w:val="none" w:sz="0" w:space="0" w:color="auto"/>
        <w:right w:val="none" w:sz="0" w:space="0" w:color="auto"/>
      </w:divBdr>
    </w:div>
    <w:div w:id="1010252016">
      <w:bodyDiv w:val="1"/>
      <w:marLeft w:val="0"/>
      <w:marRight w:val="0"/>
      <w:marTop w:val="0"/>
      <w:marBottom w:val="0"/>
      <w:divBdr>
        <w:top w:val="none" w:sz="0" w:space="0" w:color="auto"/>
        <w:left w:val="none" w:sz="0" w:space="0" w:color="auto"/>
        <w:bottom w:val="none" w:sz="0" w:space="0" w:color="auto"/>
        <w:right w:val="none" w:sz="0" w:space="0" w:color="auto"/>
      </w:divBdr>
    </w:div>
    <w:div w:id="1140267401">
      <w:bodyDiv w:val="1"/>
      <w:marLeft w:val="0"/>
      <w:marRight w:val="0"/>
      <w:marTop w:val="0"/>
      <w:marBottom w:val="0"/>
      <w:divBdr>
        <w:top w:val="none" w:sz="0" w:space="0" w:color="auto"/>
        <w:left w:val="none" w:sz="0" w:space="0" w:color="auto"/>
        <w:bottom w:val="none" w:sz="0" w:space="0" w:color="auto"/>
        <w:right w:val="none" w:sz="0" w:space="0" w:color="auto"/>
      </w:divBdr>
    </w:div>
    <w:div w:id="1209686787">
      <w:bodyDiv w:val="1"/>
      <w:marLeft w:val="0"/>
      <w:marRight w:val="0"/>
      <w:marTop w:val="0"/>
      <w:marBottom w:val="0"/>
      <w:divBdr>
        <w:top w:val="none" w:sz="0" w:space="0" w:color="auto"/>
        <w:left w:val="none" w:sz="0" w:space="0" w:color="auto"/>
        <w:bottom w:val="none" w:sz="0" w:space="0" w:color="auto"/>
        <w:right w:val="none" w:sz="0" w:space="0" w:color="auto"/>
      </w:divBdr>
    </w:div>
    <w:div w:id="1797211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b9eef38-405a-4693-b03d-6217aca0b377">
      <Terms xmlns="http://schemas.microsoft.com/office/infopath/2007/PartnerControls"/>
    </lcf76f155ced4ddcb4097134ff3c332f>
    <TaxCatchAll xmlns="6ebe0cf7-a3f7-4d66-b0b8-be61f3baa2e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3E8EB0A1790DAE4B884FEE0D0D71C209" ma:contentTypeVersion="12" ma:contentTypeDescription="Crear nuevo documento." ma:contentTypeScope="" ma:versionID="cb448371de7f0516beb2a6499517bc65">
  <xsd:schema xmlns:xsd="http://www.w3.org/2001/XMLSchema" xmlns:xs="http://www.w3.org/2001/XMLSchema" xmlns:p="http://schemas.microsoft.com/office/2006/metadata/properties" xmlns:ns2="eb9eef38-405a-4693-b03d-6217aca0b377" xmlns:ns3="6ebe0cf7-a3f7-4d66-b0b8-be61f3baa2e3" targetNamespace="http://schemas.microsoft.com/office/2006/metadata/properties" ma:root="true" ma:fieldsID="8731f2337c90c05dcee50856dbef6d5a" ns2:_="" ns3:_="">
    <xsd:import namespace="eb9eef38-405a-4693-b03d-6217aca0b377"/>
    <xsd:import namespace="6ebe0cf7-a3f7-4d66-b0b8-be61f3baa2e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9eef38-405a-4693-b03d-6217aca0b37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lcf76f155ced4ddcb4097134ff3c332f" ma:index="17" nillable="true" ma:taxonomy="true" ma:internalName="lcf76f155ced4ddcb4097134ff3c332f" ma:taxonomyFieldName="MediaServiceImageTags" ma:displayName="Etiquetas de imagen" ma:readOnly="false" ma:fieldId="{5cf76f15-5ced-4ddc-b409-7134ff3c332f}" ma:taxonomyMulti="true" ma:sspId="a108e8d9-808b-445d-9b35-4ccd2df4e559"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ebe0cf7-a3f7-4d66-b0b8-be61f3baa2e3"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8563ff1f-3551-4b7f-8ee8-b06312ce5e09}" ma:internalName="TaxCatchAll" ma:showField="CatchAllData" ma:web="6ebe0cf7-a3f7-4d66-b0b8-be61f3baa2e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C14F83-1DD7-406A-8E48-AD0F7F5465D8}">
  <ds:schemaRefs>
    <ds:schemaRef ds:uri="http://purl.org/dc/terms/"/>
    <ds:schemaRef ds:uri="eb9eef38-405a-4693-b03d-6217aca0b377"/>
    <ds:schemaRef ds:uri="http://schemas.microsoft.com/office/2006/documentManagement/types"/>
    <ds:schemaRef ds:uri="http://www.w3.org/XML/1998/namespace"/>
    <ds:schemaRef ds:uri="http://purl.org/dc/elements/1.1/"/>
    <ds:schemaRef ds:uri="http://schemas.openxmlformats.org/package/2006/metadata/core-properties"/>
    <ds:schemaRef ds:uri="http://purl.org/dc/dcmitype/"/>
    <ds:schemaRef ds:uri="http://schemas.microsoft.com/office/infopath/2007/PartnerControls"/>
    <ds:schemaRef ds:uri="6ebe0cf7-a3f7-4d66-b0b8-be61f3baa2e3"/>
    <ds:schemaRef ds:uri="http://schemas.microsoft.com/office/2006/metadata/properties"/>
  </ds:schemaRefs>
</ds:datastoreItem>
</file>

<file path=customXml/itemProps2.xml><?xml version="1.0" encoding="utf-8"?>
<ds:datastoreItem xmlns:ds="http://schemas.openxmlformats.org/officeDocument/2006/customXml" ds:itemID="{AC26A65B-FF58-4BC4-B694-6271A1EABEB1}">
  <ds:schemaRefs>
    <ds:schemaRef ds:uri="http://schemas.microsoft.com/sharepoint/v3/contenttype/forms"/>
  </ds:schemaRefs>
</ds:datastoreItem>
</file>

<file path=customXml/itemProps3.xml><?xml version="1.0" encoding="utf-8"?>
<ds:datastoreItem xmlns:ds="http://schemas.openxmlformats.org/officeDocument/2006/customXml" ds:itemID="{17190559-6D91-44BE-932B-19715072A8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9eef38-405a-4693-b03d-6217aca0b377"/>
    <ds:schemaRef ds:uri="6ebe0cf7-a3f7-4d66-b0b8-be61f3baa2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08B068D-9533-491A-AAE0-FC8D6A2CD1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977</Words>
  <Characters>5374</Characters>
  <Application>Microsoft Office Word</Application>
  <DocSecurity>0</DocSecurity>
  <Lines>44</Lines>
  <Paragraphs>12</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6339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ISABEL PLANAS</dc:creator>
  <cp:keywords/>
  <dc:description/>
  <cp:lastModifiedBy>Cristina Yague</cp:lastModifiedBy>
  <cp:revision>3</cp:revision>
  <cp:lastPrinted>2024-02-26T08:11:00Z</cp:lastPrinted>
  <dcterms:created xsi:type="dcterms:W3CDTF">2026-08-05T09:57:00Z</dcterms:created>
  <dcterms:modified xsi:type="dcterms:W3CDTF">2026-08-05T10:47:00Z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0x0101003E8EB0A1790DAE4B884FEE0D0D71C209</vt:lpwstr>
  </property>
  <property fmtid="{D5CDD505-2E9C-101B-9397-08002B2CF9AE}" pid="3" name="MediaServiceImageTags">
    <vt:lpwstr/>
  </property>
</Properties>
</file>