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A68CA" w14:textId="77777777" w:rsidR="00C5204F" w:rsidRDefault="00C5204F" w:rsidP="00C5204F">
      <w:pPr>
        <w:pBdr>
          <w:bottom w:val="single" w:sz="6" w:space="1" w:color="000000"/>
        </w:pBdr>
        <w:spacing w:after="160"/>
      </w:pPr>
      <w:bookmarkStart w:id="1" w:name="_GoBack"/>
      <w:bookmarkEnd w:id="1"/>
    </w:p>
    <w:p w14:paraId="60C4BF32" w14:textId="125F7D51" w:rsidR="713BEB58" w:rsidRPr="00C73BE4" w:rsidRDefault="00C73BE4" w:rsidP="00C73BE4">
      <w:pPr>
        <w:pStyle w:val="Ttulo2"/>
      </w:pPr>
      <w:r w:rsidRPr="00C73BE4">
        <w:t>Curso</w:t>
      </w:r>
    </w:p>
    <w:p w14:paraId="67812191" w14:textId="1B9117DF" w:rsidR="00DE2EB6" w:rsidRPr="00C227C4" w:rsidRDefault="00184C76" w:rsidP="00C227C4">
      <w:pPr>
        <w:pStyle w:val="Ttulo1"/>
        <w:rPr>
          <w:lang w:val="es-ES_tradnl"/>
        </w:rPr>
      </w:pPr>
      <w:r>
        <w:rPr>
          <w:lang w:val="es-ES_tradnl"/>
        </w:rPr>
        <w:t>Consolidación fiscal</w:t>
      </w:r>
      <w:r w:rsidR="001C6E2F">
        <w:rPr>
          <w:lang w:val="es-ES_tradnl"/>
        </w:rPr>
        <w:t>: Estrategia y práctica</w:t>
      </w:r>
    </w:p>
    <w:tbl>
      <w:tblPr>
        <w:tblStyle w:val="Cuadrculadetablaclara"/>
        <w:tblW w:w="9923" w:type="dxa"/>
        <w:tblInd w:w="-3" w:type="dxa"/>
        <w:tblLook w:val="0620" w:firstRow="1" w:lastRow="0" w:firstColumn="0" w:lastColumn="0" w:noHBand="1" w:noVBand="1"/>
      </w:tblPr>
      <w:tblGrid>
        <w:gridCol w:w="2694"/>
        <w:gridCol w:w="7229"/>
      </w:tblGrid>
      <w:tr w:rsidR="00DE2EB6" w14:paraId="0D58B845" w14:textId="77777777" w:rsidTr="00D37075">
        <w:trPr>
          <w:trHeight w:val="454"/>
        </w:trPr>
        <w:tc>
          <w:tcPr>
            <w:tcW w:w="2694" w:type="dxa"/>
            <w:vAlign w:val="center"/>
          </w:tcPr>
          <w:p w14:paraId="5EF5BE9A" w14:textId="16B5A538" w:rsidR="00DE2EB6" w:rsidRPr="00BE1E1C" w:rsidRDefault="00DE2EB6" w:rsidP="00D37075">
            <w:pPr>
              <w:spacing w:line="276" w:lineRule="auto"/>
            </w:pPr>
            <w:r w:rsidRPr="00BE1E1C">
              <w:t>Lugar:</w:t>
            </w:r>
          </w:p>
        </w:tc>
        <w:tc>
          <w:tcPr>
            <w:tcW w:w="7229" w:type="dxa"/>
            <w:vAlign w:val="center"/>
          </w:tcPr>
          <w:p w14:paraId="149E05FF" w14:textId="65A8BB3F" w:rsidR="00DE2EB6" w:rsidRDefault="00DE2EB6" w:rsidP="006A53B8">
            <w:pPr>
              <w:spacing w:line="276" w:lineRule="auto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t xml:space="preserve">Fundación CAI </w:t>
            </w:r>
            <w:r>
              <w:br/>
            </w:r>
            <w:r w:rsidR="006A53B8">
              <w:t>Aula virtual</w:t>
            </w:r>
            <w:r>
              <w:t xml:space="preserve"> - 976 355 000</w:t>
            </w:r>
          </w:p>
        </w:tc>
      </w:tr>
      <w:tr w:rsidR="00DE2EB6" w14:paraId="02AAA377" w14:textId="77777777" w:rsidTr="00D37075">
        <w:trPr>
          <w:trHeight w:val="454"/>
        </w:trPr>
        <w:tc>
          <w:tcPr>
            <w:tcW w:w="2694" w:type="dxa"/>
            <w:vAlign w:val="center"/>
          </w:tcPr>
          <w:p w14:paraId="1FA1DE20" w14:textId="62CA0B07" w:rsidR="00DE2EB6" w:rsidRDefault="00DE2EB6" w:rsidP="00D37075">
            <w:pPr>
              <w:spacing w:line="276" w:lineRule="auto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t>Fechas:</w:t>
            </w:r>
          </w:p>
        </w:tc>
        <w:tc>
          <w:tcPr>
            <w:tcW w:w="7229" w:type="dxa"/>
            <w:vAlign w:val="center"/>
          </w:tcPr>
          <w:p w14:paraId="1FD327CD" w14:textId="7F0FF770" w:rsidR="00DE2EB6" w:rsidRDefault="00184C76" w:rsidP="00D37075">
            <w:pPr>
              <w:spacing w:line="276" w:lineRule="auto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19/10/2026 y 26/10/2026</w:t>
            </w:r>
          </w:p>
        </w:tc>
      </w:tr>
      <w:tr w:rsidR="00DE2EB6" w14:paraId="1E816F37" w14:textId="77777777" w:rsidTr="00D37075">
        <w:trPr>
          <w:trHeight w:val="454"/>
        </w:trPr>
        <w:tc>
          <w:tcPr>
            <w:tcW w:w="2694" w:type="dxa"/>
            <w:vAlign w:val="center"/>
          </w:tcPr>
          <w:p w14:paraId="674DC45A" w14:textId="2D32822F" w:rsidR="00DE2EB6" w:rsidRPr="616E2A0B" w:rsidRDefault="00DE2EB6" w:rsidP="00D37075">
            <w:pPr>
              <w:spacing w:line="276" w:lineRule="auto"/>
            </w:pPr>
            <w:r>
              <w:t>Horario:</w:t>
            </w:r>
          </w:p>
        </w:tc>
        <w:tc>
          <w:tcPr>
            <w:tcW w:w="7229" w:type="dxa"/>
            <w:vAlign w:val="center"/>
          </w:tcPr>
          <w:p w14:paraId="2D728C69" w14:textId="4164856C" w:rsidR="00DE2EB6" w:rsidRPr="616E2A0B" w:rsidRDefault="00C227C4" w:rsidP="00184C76">
            <w:pPr>
              <w:spacing w:line="276" w:lineRule="auto"/>
            </w:pPr>
            <w:r>
              <w:t>D</w:t>
            </w:r>
            <w:r w:rsidRPr="00C227C4">
              <w:t xml:space="preserve">e </w:t>
            </w:r>
            <w:r w:rsidR="00184C76">
              <w:t xml:space="preserve">15.30 a 19.30 </w:t>
            </w:r>
            <w:r w:rsidRPr="00C227C4">
              <w:t xml:space="preserve"> h (</w:t>
            </w:r>
            <w:r w:rsidR="00184C76">
              <w:t>8</w:t>
            </w:r>
            <w:r w:rsidRPr="00C227C4">
              <w:t xml:space="preserve"> horas lectivas)</w:t>
            </w:r>
          </w:p>
        </w:tc>
      </w:tr>
      <w:tr w:rsidR="00DE2EB6" w14:paraId="5B038BAF" w14:textId="77777777" w:rsidTr="00D37075">
        <w:trPr>
          <w:trHeight w:val="454"/>
        </w:trPr>
        <w:tc>
          <w:tcPr>
            <w:tcW w:w="2694" w:type="dxa"/>
            <w:vAlign w:val="center"/>
          </w:tcPr>
          <w:p w14:paraId="137759D3" w14:textId="18265D88" w:rsidR="00DE2EB6" w:rsidRDefault="00DE2EB6" w:rsidP="00D37075">
            <w:pPr>
              <w:spacing w:line="276" w:lineRule="auto"/>
            </w:pPr>
            <w:r>
              <w:t>Importe:</w:t>
            </w:r>
          </w:p>
        </w:tc>
        <w:tc>
          <w:tcPr>
            <w:tcW w:w="7229" w:type="dxa"/>
            <w:vAlign w:val="center"/>
          </w:tcPr>
          <w:p w14:paraId="64BDA8D9" w14:textId="0C1B0792" w:rsidR="00DE2EB6" w:rsidRDefault="00184C76" w:rsidP="00D37075">
            <w:pPr>
              <w:spacing w:line="276" w:lineRule="auto"/>
            </w:pPr>
            <w:r>
              <w:rPr>
                <w:lang w:val="es-ES_tradnl"/>
              </w:rPr>
              <w:t>210</w:t>
            </w:r>
            <w:r w:rsidR="00C227C4" w:rsidRPr="00C227C4">
              <w:rPr>
                <w:lang w:val="es-ES_tradnl"/>
              </w:rPr>
              <w:t xml:space="preserve"> €</w:t>
            </w:r>
          </w:p>
        </w:tc>
      </w:tr>
      <w:tr w:rsidR="00DE2EB6" w14:paraId="078E1A22" w14:textId="77777777" w:rsidTr="00D37075">
        <w:trPr>
          <w:trHeight w:val="454"/>
        </w:trPr>
        <w:tc>
          <w:tcPr>
            <w:tcW w:w="2694" w:type="dxa"/>
            <w:vAlign w:val="center"/>
          </w:tcPr>
          <w:p w14:paraId="1B3DCE59" w14:textId="146C6204" w:rsidR="00DE2EB6" w:rsidRDefault="00DE2EB6" w:rsidP="00D37075">
            <w:pPr>
              <w:spacing w:line="276" w:lineRule="auto"/>
            </w:pPr>
            <w:r>
              <w:t>Importe desempleados:</w:t>
            </w:r>
          </w:p>
        </w:tc>
        <w:tc>
          <w:tcPr>
            <w:tcW w:w="7229" w:type="dxa"/>
            <w:vAlign w:val="center"/>
          </w:tcPr>
          <w:p w14:paraId="2D21DFA9" w14:textId="47BB34BC" w:rsidR="00DE2EB6" w:rsidRDefault="00184C76" w:rsidP="00D37075">
            <w:pPr>
              <w:spacing w:line="276" w:lineRule="auto"/>
            </w:pPr>
            <w:r>
              <w:t>63</w:t>
            </w:r>
            <w:r w:rsidR="00DE2EB6">
              <w:t xml:space="preserve"> €</w:t>
            </w:r>
          </w:p>
        </w:tc>
      </w:tr>
      <w:tr w:rsidR="00DE2EB6" w14:paraId="6EC726FF" w14:textId="77777777" w:rsidTr="00D37075">
        <w:trPr>
          <w:trHeight w:val="454"/>
        </w:trPr>
        <w:tc>
          <w:tcPr>
            <w:tcW w:w="2694" w:type="dxa"/>
            <w:vAlign w:val="center"/>
          </w:tcPr>
          <w:p w14:paraId="2D010B0D" w14:textId="3C5B008D" w:rsidR="00DE2EB6" w:rsidRDefault="00DE2EB6" w:rsidP="00D37075">
            <w:pPr>
              <w:spacing w:line="276" w:lineRule="auto"/>
            </w:pPr>
            <w:r>
              <w:t xml:space="preserve">Plazo de inscripción: </w:t>
            </w:r>
          </w:p>
        </w:tc>
        <w:tc>
          <w:tcPr>
            <w:tcW w:w="7229" w:type="dxa"/>
            <w:vAlign w:val="center"/>
          </w:tcPr>
          <w:p w14:paraId="1C11B7DC" w14:textId="5EDCE35F" w:rsidR="00DE2EB6" w:rsidRDefault="00184C76" w:rsidP="00D37075">
            <w:pPr>
              <w:spacing w:line="276" w:lineRule="auto"/>
            </w:pPr>
            <w:r>
              <w:t>15/10</w:t>
            </w:r>
            <w:r w:rsidR="00C227C4" w:rsidRPr="00C227C4">
              <w:t xml:space="preserve">/2026 </w:t>
            </w:r>
            <w:r w:rsidR="00BE1E1C">
              <w:t>(Hasta las 15 h)</w:t>
            </w:r>
          </w:p>
        </w:tc>
      </w:tr>
    </w:tbl>
    <w:p w14:paraId="6720984E" w14:textId="57DF3B0F" w:rsidR="00DE2EB6" w:rsidRPr="00845439" w:rsidRDefault="00BE1E1C" w:rsidP="00C73BE4">
      <w:pPr>
        <w:pStyle w:val="Ttulo3"/>
      </w:pPr>
      <w:r w:rsidRPr="00845439">
        <w:t>Presentación</w:t>
      </w:r>
    </w:p>
    <w:p w14:paraId="72E7274F" w14:textId="77777777" w:rsidR="00184C76" w:rsidRPr="00184C76" w:rsidRDefault="00184C76" w:rsidP="00184C76">
      <w:pPr>
        <w:widowControl w:val="0"/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  <w:lang w:val="es-ES_tradnl"/>
        </w:rPr>
      </w:pPr>
      <w:r w:rsidRPr="00184C76">
        <w:rPr>
          <w:rFonts w:eastAsia="Times New Roman" w:cs="Arial"/>
          <w:snapToGrid w:val="0"/>
          <w:sz w:val="20"/>
          <w:szCs w:val="20"/>
          <w:lang w:val="es-ES_tradnl"/>
        </w:rPr>
        <w:t xml:space="preserve">El </w:t>
      </w:r>
      <w:r w:rsidRPr="00184C76">
        <w:rPr>
          <w:rFonts w:eastAsia="Times New Roman" w:cs="Arial"/>
          <w:b/>
          <w:bCs/>
          <w:snapToGrid w:val="0"/>
          <w:sz w:val="20"/>
          <w:szCs w:val="20"/>
          <w:lang w:val="es-ES_tradnl"/>
        </w:rPr>
        <w:t>régimen fiscal especial</w:t>
      </w:r>
      <w:r w:rsidRPr="00184C76">
        <w:rPr>
          <w:rFonts w:eastAsia="Times New Roman" w:cs="Arial"/>
          <w:snapToGrid w:val="0"/>
          <w:sz w:val="20"/>
          <w:szCs w:val="20"/>
          <w:lang w:val="es-ES_tradnl"/>
        </w:rPr>
        <w:t xml:space="preserve"> de consolidación fiscal (regulado en el Título VII, Capítulo VI de la </w:t>
      </w:r>
      <w:r w:rsidRPr="00184C76">
        <w:rPr>
          <w:rFonts w:eastAsia="Times New Roman" w:cs="Arial"/>
          <w:b/>
          <w:bCs/>
          <w:snapToGrid w:val="0"/>
          <w:sz w:val="20"/>
          <w:szCs w:val="20"/>
          <w:lang w:val="es-ES_tradnl"/>
        </w:rPr>
        <w:t>Ley 27/2014 del Impuesto sobre Sociedades</w:t>
      </w:r>
      <w:r w:rsidRPr="00184C76">
        <w:rPr>
          <w:rFonts w:eastAsia="Times New Roman" w:cs="Arial"/>
          <w:snapToGrid w:val="0"/>
          <w:sz w:val="20"/>
          <w:szCs w:val="20"/>
          <w:lang w:val="es-ES_tradnl"/>
        </w:rPr>
        <w:t>) constituye una de las herramientas de planificación fiscal y financiera más potentes para los grupos societarios.</w:t>
      </w:r>
    </w:p>
    <w:p w14:paraId="1A6476B3" w14:textId="77777777" w:rsidR="00184C76" w:rsidRPr="00184C76" w:rsidRDefault="00184C76" w:rsidP="00184C76">
      <w:pPr>
        <w:widowControl w:val="0"/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  <w:lang w:val="es-ES_tradnl"/>
        </w:rPr>
      </w:pPr>
      <w:r w:rsidRPr="00184C76">
        <w:rPr>
          <w:rFonts w:eastAsia="Times New Roman" w:cs="Arial"/>
          <w:snapToGrid w:val="0"/>
          <w:sz w:val="20"/>
          <w:szCs w:val="20"/>
          <w:lang w:val="es-ES_tradnl"/>
        </w:rPr>
        <w:t xml:space="preserve">Hoy en día, este </w:t>
      </w:r>
      <w:r w:rsidRPr="00184C76">
        <w:rPr>
          <w:rFonts w:eastAsia="Times New Roman" w:cs="Arial"/>
          <w:b/>
          <w:bCs/>
          <w:snapToGrid w:val="0"/>
          <w:sz w:val="20"/>
          <w:szCs w:val="20"/>
          <w:lang w:val="es-ES_tradnl"/>
        </w:rPr>
        <w:t>régimen opcional</w:t>
      </w:r>
      <w:r w:rsidRPr="00184C76">
        <w:rPr>
          <w:rFonts w:eastAsia="Times New Roman" w:cs="Arial"/>
          <w:snapToGrid w:val="0"/>
          <w:sz w:val="20"/>
          <w:szCs w:val="20"/>
          <w:lang w:val="es-ES_tradnl"/>
        </w:rPr>
        <w:t xml:space="preserve"> no es solo un mecanismo de agregación contable, sino un pilar estratégico de eficiencia de caja. En un entorno económico volátil, la consolidación fiscal permite la compensación automática e inmediata de bases imponibles positivas y negativas entre las empresas del grupo, maximizando la liquidez de forma legal y segura. </w:t>
      </w:r>
    </w:p>
    <w:p w14:paraId="0AB9FBDA" w14:textId="614DA647" w:rsidR="00F40D86" w:rsidRDefault="00184C76" w:rsidP="00184C76">
      <w:pPr>
        <w:widowControl w:val="0"/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  <w:lang w:val="es-ES_tradnl"/>
        </w:rPr>
      </w:pPr>
      <w:r w:rsidRPr="00184C76">
        <w:rPr>
          <w:rFonts w:eastAsia="Times New Roman" w:cs="Arial"/>
          <w:snapToGrid w:val="0"/>
          <w:sz w:val="20"/>
          <w:szCs w:val="20"/>
          <w:lang w:val="es-ES_tradnl"/>
        </w:rPr>
        <w:t xml:space="preserve">Este curso aborda el régimen desde una perspectiva práctica en la que el </w:t>
      </w:r>
      <w:r w:rsidRPr="00184C76">
        <w:rPr>
          <w:rFonts w:eastAsia="Times New Roman" w:cs="Arial"/>
          <w:b/>
          <w:bCs/>
          <w:snapToGrid w:val="0"/>
          <w:sz w:val="20"/>
          <w:szCs w:val="20"/>
          <w:lang w:val="es-ES_tradnl"/>
        </w:rPr>
        <w:t>grupo opera como un sujeto pasivo único</w:t>
      </w:r>
      <w:r w:rsidRPr="00184C76">
        <w:rPr>
          <w:rFonts w:eastAsia="Times New Roman" w:cs="Arial"/>
          <w:snapToGrid w:val="0"/>
          <w:sz w:val="20"/>
          <w:szCs w:val="20"/>
          <w:lang w:val="es-ES_tradnl"/>
        </w:rPr>
        <w:t xml:space="preserve"> ante la Administración, donde la sociedad dominante ejerce la representación y el liderazgo de una política fiscal integrada y eficiente.</w:t>
      </w:r>
    </w:p>
    <w:p w14:paraId="7AF0EACD" w14:textId="77777777" w:rsidR="00184C76" w:rsidRPr="00184C76" w:rsidRDefault="00184C76" w:rsidP="00184C76">
      <w:pPr>
        <w:widowControl w:val="0"/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  <w:lang w:val="es-ES_tradnl"/>
        </w:rPr>
      </w:pPr>
    </w:p>
    <w:p w14:paraId="5F34EED4" w14:textId="1B081E42" w:rsidR="00845439" w:rsidRDefault="00845439" w:rsidP="00C73BE4">
      <w:pPr>
        <w:pStyle w:val="Ttulo3"/>
      </w:pPr>
      <w:r>
        <w:t>Objetivos</w:t>
      </w:r>
      <w:r w:rsidR="00320102">
        <w:t>:</w:t>
      </w:r>
    </w:p>
    <w:p w14:paraId="47B99639" w14:textId="77777777" w:rsidR="00184C76" w:rsidRPr="00184C76" w:rsidRDefault="00184C76" w:rsidP="00184C76">
      <w:pPr>
        <w:widowControl w:val="0"/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 xml:space="preserve">El objetivo del curso es dotar a profesionales que ya </w:t>
      </w:r>
      <w:r w:rsidRPr="00184C76">
        <w:rPr>
          <w:rFonts w:eastAsia="Times New Roman" w:cs="Arial"/>
          <w:b/>
          <w:bCs/>
          <w:snapToGrid w:val="0"/>
          <w:sz w:val="20"/>
          <w:szCs w:val="20"/>
        </w:rPr>
        <w:t>conocen el Impuesto sobre Sociedades</w:t>
      </w:r>
      <w:r w:rsidRPr="00184C76">
        <w:rPr>
          <w:rFonts w:eastAsia="Times New Roman" w:cs="Arial"/>
          <w:snapToGrid w:val="0"/>
          <w:sz w:val="20"/>
          <w:szCs w:val="20"/>
        </w:rPr>
        <w:t xml:space="preserve"> de un </w:t>
      </w:r>
      <w:r w:rsidRPr="00184C76">
        <w:rPr>
          <w:rFonts w:eastAsia="Times New Roman" w:cs="Arial"/>
          <w:b/>
          <w:bCs/>
          <w:snapToGrid w:val="0"/>
          <w:sz w:val="20"/>
          <w:szCs w:val="20"/>
        </w:rPr>
        <w:t>dominio teórico-práctico</w:t>
      </w:r>
      <w:r w:rsidRPr="00184C76">
        <w:rPr>
          <w:rFonts w:eastAsia="Times New Roman" w:cs="Arial"/>
          <w:snapToGrid w:val="0"/>
          <w:sz w:val="20"/>
          <w:szCs w:val="20"/>
        </w:rPr>
        <w:t xml:space="preserve"> en la gestión tributaria de grupos de empresas.</w:t>
      </w:r>
    </w:p>
    <w:p w14:paraId="35C4E997" w14:textId="77777777" w:rsidR="00184C76" w:rsidRPr="00184C76" w:rsidRDefault="00184C76" w:rsidP="00184C76">
      <w:pPr>
        <w:widowControl w:val="0"/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</w:p>
    <w:p w14:paraId="5E421A60" w14:textId="517D27B9" w:rsidR="00184C76" w:rsidRPr="00184C76" w:rsidRDefault="00184C76" w:rsidP="00184C76">
      <w:pPr>
        <w:pStyle w:val="Prrafodelista"/>
        <w:widowControl w:val="0"/>
        <w:numPr>
          <w:ilvl w:val="0"/>
          <w:numId w:val="28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Relacionar los fundamentos de la consolidación contable con los ajustes específicos de la consolidación fiscal.</w:t>
      </w:r>
    </w:p>
    <w:p w14:paraId="28FAAA85" w14:textId="488C2ABB" w:rsidR="00184C76" w:rsidRPr="00184C76" w:rsidRDefault="00184C76" w:rsidP="00184C76">
      <w:pPr>
        <w:pStyle w:val="Prrafodelista"/>
        <w:widowControl w:val="0"/>
        <w:numPr>
          <w:ilvl w:val="0"/>
          <w:numId w:val="28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Dominar el ecosistema del grupo fiscal: altas, bajas, exclusiones y el impacto en los créditos fiscales pendientes.</w:t>
      </w:r>
    </w:p>
    <w:p w14:paraId="336C7B65" w14:textId="51B5AFC8" w:rsidR="00184C76" w:rsidRPr="00184C76" w:rsidRDefault="00184C76" w:rsidP="00184C76">
      <w:pPr>
        <w:pStyle w:val="Prrafodelista"/>
        <w:widowControl w:val="0"/>
        <w:numPr>
          <w:ilvl w:val="0"/>
          <w:numId w:val="28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Calcular con precisión la base imponible y la cuota global, optimizando deducciones y bonificaciones.</w:t>
      </w:r>
    </w:p>
    <w:p w14:paraId="6A66C363" w14:textId="1E3B550A" w:rsidR="00956A0C" w:rsidRDefault="00184C76" w:rsidP="00C73BE4">
      <w:pPr>
        <w:pStyle w:val="Prrafodelista"/>
        <w:widowControl w:val="0"/>
        <w:numPr>
          <w:ilvl w:val="0"/>
          <w:numId w:val="28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Gestionar el riesgo fiscal y la contabilización del efecto impositivo (reparto interno del impuesto) bajo los criterios contables y jurisprudenciales más recientes.</w:t>
      </w:r>
    </w:p>
    <w:p w14:paraId="653A1E26" w14:textId="77777777" w:rsidR="00184C76" w:rsidRPr="00184C76" w:rsidRDefault="00184C76" w:rsidP="00184C76">
      <w:pPr>
        <w:pStyle w:val="Prrafodelista"/>
        <w:widowControl w:val="0"/>
        <w:numPr>
          <w:ilvl w:val="0"/>
          <w:numId w:val="0"/>
        </w:numPr>
        <w:pBdr>
          <w:bar w:val="none" w:sz="0" w:color="auto"/>
        </w:pBdr>
        <w:spacing w:after="0" w:line="240" w:lineRule="auto"/>
        <w:ind w:left="720"/>
        <w:jc w:val="both"/>
        <w:rPr>
          <w:rFonts w:eastAsia="Times New Roman" w:cs="Arial"/>
          <w:snapToGrid w:val="0"/>
          <w:sz w:val="20"/>
          <w:szCs w:val="20"/>
        </w:rPr>
      </w:pPr>
    </w:p>
    <w:p w14:paraId="1C8136CA" w14:textId="188611D4" w:rsidR="00320102" w:rsidRDefault="00320102" w:rsidP="00C73BE4">
      <w:pPr>
        <w:pStyle w:val="Ttulo3"/>
      </w:pPr>
      <w:r>
        <w:t>Dirigido a:</w:t>
      </w:r>
    </w:p>
    <w:p w14:paraId="16C124B8" w14:textId="77777777" w:rsidR="00184C76" w:rsidRPr="00184C76" w:rsidRDefault="00184C76" w:rsidP="00184C76">
      <w:pPr>
        <w:widowControl w:val="0"/>
        <w:pBdr>
          <w:bar w:val="none" w:sz="0" w:color="auto"/>
        </w:pBdr>
        <w:tabs>
          <w:tab w:val="left" w:pos="-1440"/>
        </w:tabs>
        <w:spacing w:after="0" w:line="240" w:lineRule="auto"/>
        <w:jc w:val="both"/>
        <w:rPr>
          <w:rFonts w:eastAsia="Times New Roman" w:cs="Times New Roman"/>
          <w:bCs/>
          <w:snapToGrid w:val="0"/>
          <w:sz w:val="20"/>
          <w:szCs w:val="20"/>
          <w:lang w:val="es-ES_tradnl"/>
        </w:rPr>
      </w:pPr>
      <w:r w:rsidRPr="00184C76">
        <w:rPr>
          <w:rFonts w:eastAsia="Times New Roman" w:cs="Times New Roman"/>
          <w:bCs/>
          <w:snapToGrid w:val="0"/>
          <w:sz w:val="20"/>
          <w:szCs w:val="20"/>
          <w:lang w:val="es-ES_tradnl"/>
        </w:rPr>
        <w:t>Directores financieros, directores de administración, asesores fiscales, contables y profesionales del ámbito legal y tributario que gestionen o asesoren a grupos de sociedades y busquen maximizar la eficiencia fiscal corporativa.</w:t>
      </w:r>
    </w:p>
    <w:p w14:paraId="437F789B" w14:textId="77777777" w:rsidR="00F40D86" w:rsidRPr="00184C76" w:rsidRDefault="00F40D86" w:rsidP="00184C76">
      <w:pPr>
        <w:rPr>
          <w:lang w:val="es-ES_tradnl"/>
        </w:rPr>
      </w:pPr>
    </w:p>
    <w:p w14:paraId="257D7486" w14:textId="64567AF5" w:rsidR="00320102" w:rsidRDefault="00320102" w:rsidP="00C73BE4">
      <w:pPr>
        <w:pStyle w:val="Ttulo3"/>
      </w:pPr>
      <w:r>
        <w:lastRenderedPageBreak/>
        <w:t>Profesorado:</w:t>
      </w:r>
    </w:p>
    <w:p w14:paraId="7AA85E18" w14:textId="65CDA56E" w:rsidR="00184C76" w:rsidRPr="00184C76" w:rsidRDefault="00184C76" w:rsidP="00184C76">
      <w:pPr>
        <w:widowControl w:val="0"/>
        <w:pBdr>
          <w:bar w:val="none" w:sz="0" w:color="auto"/>
        </w:pBdr>
        <w:spacing w:after="0" w:line="240" w:lineRule="auto"/>
        <w:rPr>
          <w:rFonts w:eastAsia="Times New Roman" w:cs="Arial"/>
          <w:snapToGrid w:val="0"/>
          <w:sz w:val="20"/>
          <w:szCs w:val="20"/>
        </w:rPr>
      </w:pPr>
      <w:r>
        <w:rPr>
          <w:rFonts w:eastAsia="Times New Roman" w:cs="Arial"/>
          <w:snapToGrid w:val="0"/>
          <w:sz w:val="20"/>
          <w:szCs w:val="20"/>
        </w:rPr>
        <w:t xml:space="preserve">D. </w:t>
      </w:r>
      <w:r w:rsidRPr="00184C76">
        <w:rPr>
          <w:rFonts w:eastAsia="Times New Roman" w:cs="Arial"/>
          <w:b/>
          <w:snapToGrid w:val="0"/>
          <w:sz w:val="20"/>
          <w:szCs w:val="20"/>
        </w:rPr>
        <w:t>Ángel Ferreras Robles</w:t>
      </w:r>
      <w:r>
        <w:rPr>
          <w:rFonts w:eastAsia="Times New Roman" w:cs="Arial"/>
          <w:snapToGrid w:val="0"/>
          <w:sz w:val="20"/>
          <w:szCs w:val="20"/>
        </w:rPr>
        <w:t xml:space="preserve">. </w:t>
      </w:r>
      <w:r w:rsidRPr="00184C76">
        <w:rPr>
          <w:rFonts w:eastAsia="Times New Roman" w:cs="Arial"/>
          <w:snapToGrid w:val="0"/>
          <w:sz w:val="20"/>
          <w:szCs w:val="20"/>
        </w:rPr>
        <w:t>Licenciado en Ciencias Económicas y Empresariales. Asesor financiero y fiscal. Más de 25 años de experiencia en formación y consultoría. Ponente habitual en diversas federaciones empresariales y escuelas de negocios.</w:t>
      </w:r>
      <w:r w:rsidRPr="00184C76">
        <w:rPr>
          <w:rFonts w:eastAsia="Times New Roman" w:cs="Times New Roman"/>
          <w:b/>
          <w:snapToGrid w:val="0"/>
          <w:sz w:val="20"/>
          <w:szCs w:val="20"/>
          <w:lang w:val="es-ES_tradnl"/>
        </w:rPr>
        <w:tab/>
      </w:r>
    </w:p>
    <w:p w14:paraId="60F9E2E7" w14:textId="77777777" w:rsidR="000123F0" w:rsidRDefault="000123F0">
      <w:pPr>
        <w:rPr>
          <w:b/>
          <w:bCs/>
        </w:rPr>
      </w:pPr>
    </w:p>
    <w:p w14:paraId="434CBD5D" w14:textId="39737DD0" w:rsidR="00184C76" w:rsidRPr="00184C76" w:rsidRDefault="000123F0" w:rsidP="00184C76">
      <w:pPr>
        <w:pStyle w:val="Ttulo3"/>
      </w:pPr>
      <w:r>
        <w:t>Programa:</w:t>
      </w:r>
    </w:p>
    <w:p w14:paraId="6EC73E12" w14:textId="684BA7DB" w:rsidR="00184C76" w:rsidRPr="00184C76" w:rsidRDefault="00184C76" w:rsidP="00184C76">
      <w:pPr>
        <w:widowControl w:val="0"/>
        <w:pBdr>
          <w:bar w:val="none" w:sz="0" w:color="auto"/>
        </w:pBdr>
        <w:spacing w:after="0" w:line="240" w:lineRule="auto"/>
        <w:rPr>
          <w:rFonts w:eastAsia="Times New Roman" w:cs="Arial"/>
          <w:b/>
          <w:bCs/>
          <w:snapToGrid w:val="0"/>
          <w:sz w:val="20"/>
          <w:szCs w:val="20"/>
        </w:rPr>
      </w:pPr>
      <w:r w:rsidRPr="00184C76">
        <w:rPr>
          <w:rFonts w:eastAsia="Times New Roman" w:cs="Arial"/>
          <w:b/>
          <w:bCs/>
          <w:snapToGrid w:val="0"/>
          <w:sz w:val="20"/>
          <w:szCs w:val="20"/>
        </w:rPr>
        <w:t>1.- Arquitectura y Configuración del Grupo Fiscal</w:t>
      </w:r>
    </w:p>
    <w:p w14:paraId="6CA533A5" w14:textId="77777777" w:rsidR="00184C76" w:rsidRPr="00184C76" w:rsidRDefault="00184C76" w:rsidP="00184C76">
      <w:pPr>
        <w:widowControl w:val="0"/>
        <w:numPr>
          <w:ilvl w:val="0"/>
          <w:numId w:val="29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El concepto de grupo: Sinergias entre el grupo mercantil y el grupo fiscal.</w:t>
      </w:r>
    </w:p>
    <w:p w14:paraId="18BB2B91" w14:textId="77777777" w:rsidR="00184C76" w:rsidRPr="00184C76" w:rsidRDefault="00184C76" w:rsidP="00184C76">
      <w:pPr>
        <w:widowControl w:val="0"/>
        <w:numPr>
          <w:ilvl w:val="0"/>
          <w:numId w:val="29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Delimitación contable previa: Puntos clave de la consolidación contable esenciales para el cierre fiscal.</w:t>
      </w:r>
    </w:p>
    <w:p w14:paraId="5F831F6F" w14:textId="77777777" w:rsidR="00184C76" w:rsidRPr="00184C76" w:rsidRDefault="00184C76" w:rsidP="00184C76">
      <w:pPr>
        <w:widowControl w:val="0"/>
        <w:numPr>
          <w:ilvl w:val="0"/>
          <w:numId w:val="29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El perímetro del Grupo Fiscal: Definición de sociedad dominante y dependientes, cálculo del dominio efectivo y designación del grupo como sujeto pasivo único.</w:t>
      </w:r>
    </w:p>
    <w:p w14:paraId="4459C349" w14:textId="77777777" w:rsidR="00184C76" w:rsidRPr="00184C76" w:rsidRDefault="00184C76" w:rsidP="00184C76">
      <w:pPr>
        <w:widowControl w:val="0"/>
        <w:numPr>
          <w:ilvl w:val="0"/>
          <w:numId w:val="29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Dinámica del perímetro: Gestión de alteraciones (inclusiones, exclusiones y reincorporaciones) y su impacto temporal.</w:t>
      </w:r>
    </w:p>
    <w:p w14:paraId="42A598D1" w14:textId="77777777" w:rsidR="00184C76" w:rsidRPr="00184C76" w:rsidRDefault="00184C76" w:rsidP="00184C76">
      <w:pPr>
        <w:widowControl w:val="0"/>
        <w:numPr>
          <w:ilvl w:val="0"/>
          <w:numId w:val="29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Formalidades y cumplimiento: Requisitos de adopción del régimen, comunicación a la Agencia Tributaria y vigencia del esquema.</w:t>
      </w:r>
    </w:p>
    <w:p w14:paraId="65E466D6" w14:textId="77777777" w:rsidR="00184C76" w:rsidRPr="00184C76" w:rsidRDefault="00184C76" w:rsidP="00184C76">
      <w:pPr>
        <w:widowControl w:val="0"/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</w:p>
    <w:p w14:paraId="60518B48" w14:textId="3B813E9C" w:rsidR="00184C76" w:rsidRPr="00184C76" w:rsidRDefault="00184C76" w:rsidP="00184C76">
      <w:pPr>
        <w:widowControl w:val="0"/>
        <w:pBdr>
          <w:bar w:val="none" w:sz="0" w:color="auto"/>
        </w:pBdr>
        <w:spacing w:after="0" w:line="240" w:lineRule="auto"/>
        <w:jc w:val="both"/>
        <w:rPr>
          <w:rFonts w:eastAsia="Times New Roman" w:cs="Arial"/>
          <w:b/>
          <w:bCs/>
          <w:snapToGrid w:val="0"/>
          <w:sz w:val="20"/>
          <w:szCs w:val="20"/>
        </w:rPr>
      </w:pPr>
      <w:r w:rsidRPr="00184C76">
        <w:rPr>
          <w:rFonts w:eastAsia="Times New Roman" w:cs="Arial"/>
          <w:b/>
          <w:bCs/>
          <w:snapToGrid w:val="0"/>
          <w:sz w:val="20"/>
          <w:szCs w:val="20"/>
        </w:rPr>
        <w:t>2.- Determinación de la Base Imponible y Liquidación</w:t>
      </w:r>
    </w:p>
    <w:p w14:paraId="335926BE" w14:textId="77777777" w:rsidR="00184C76" w:rsidRPr="00184C76" w:rsidRDefault="00184C76" w:rsidP="00184C76">
      <w:pPr>
        <w:widowControl w:val="0"/>
        <w:numPr>
          <w:ilvl w:val="0"/>
          <w:numId w:val="30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Cálculo de la Base Imponible del Grupo: Proceso de agregación, eliminaciones e incorporaciones de resultados internos.</w:t>
      </w:r>
    </w:p>
    <w:p w14:paraId="7E301BD7" w14:textId="77777777" w:rsidR="00184C76" w:rsidRPr="00184C76" w:rsidRDefault="00184C76" w:rsidP="00184C76">
      <w:pPr>
        <w:widowControl w:val="0"/>
        <w:numPr>
          <w:ilvl w:val="0"/>
          <w:numId w:val="30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Gestión de Bases Imponibles Negativas (</w:t>
      </w:r>
      <w:proofErr w:type="spellStart"/>
      <w:r w:rsidRPr="00184C76">
        <w:rPr>
          <w:rFonts w:eastAsia="Times New Roman" w:cs="Arial"/>
          <w:snapToGrid w:val="0"/>
          <w:sz w:val="20"/>
          <w:szCs w:val="20"/>
        </w:rPr>
        <w:t>BINs</w:t>
      </w:r>
      <w:proofErr w:type="spellEnd"/>
      <w:r w:rsidRPr="00184C76">
        <w:rPr>
          <w:rFonts w:eastAsia="Times New Roman" w:cs="Arial"/>
          <w:snapToGrid w:val="0"/>
          <w:sz w:val="20"/>
          <w:szCs w:val="20"/>
        </w:rPr>
        <w:t xml:space="preserve">): Tratamiento de </w:t>
      </w:r>
      <w:proofErr w:type="spellStart"/>
      <w:r w:rsidRPr="00184C76">
        <w:rPr>
          <w:rFonts w:eastAsia="Times New Roman" w:cs="Arial"/>
          <w:snapToGrid w:val="0"/>
          <w:sz w:val="20"/>
          <w:szCs w:val="20"/>
        </w:rPr>
        <w:t>BINs</w:t>
      </w:r>
      <w:proofErr w:type="spellEnd"/>
      <w:r w:rsidRPr="00184C76">
        <w:rPr>
          <w:rFonts w:eastAsia="Times New Roman" w:cs="Arial"/>
          <w:snapToGrid w:val="0"/>
          <w:sz w:val="20"/>
          <w:szCs w:val="20"/>
        </w:rPr>
        <w:t xml:space="preserve"> generadas por el grupo vs. </w:t>
      </w:r>
      <w:proofErr w:type="spellStart"/>
      <w:r w:rsidRPr="00184C76">
        <w:rPr>
          <w:rFonts w:eastAsia="Times New Roman" w:cs="Arial"/>
          <w:snapToGrid w:val="0"/>
          <w:sz w:val="20"/>
          <w:szCs w:val="20"/>
        </w:rPr>
        <w:t>BINs</w:t>
      </w:r>
      <w:proofErr w:type="spellEnd"/>
      <w:r w:rsidRPr="00184C76">
        <w:rPr>
          <w:rFonts w:eastAsia="Times New Roman" w:cs="Arial"/>
          <w:snapToGrid w:val="0"/>
          <w:sz w:val="20"/>
          <w:szCs w:val="20"/>
        </w:rPr>
        <w:t xml:space="preserve"> pendientes de compensación previas a la consolidación.</w:t>
      </w:r>
    </w:p>
    <w:p w14:paraId="16A8F8A0" w14:textId="77777777" w:rsidR="00184C76" w:rsidRPr="00184C76" w:rsidRDefault="00184C76" w:rsidP="00184C76">
      <w:pPr>
        <w:widowControl w:val="0"/>
        <w:numPr>
          <w:ilvl w:val="0"/>
          <w:numId w:val="30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Gestión y casuística del período impositivo en entornos de grupo.</w:t>
      </w:r>
    </w:p>
    <w:p w14:paraId="6B56CCCB" w14:textId="77777777" w:rsidR="00184C76" w:rsidRPr="00184C76" w:rsidRDefault="00184C76" w:rsidP="00184C76">
      <w:pPr>
        <w:widowControl w:val="0"/>
        <w:numPr>
          <w:ilvl w:val="0"/>
          <w:numId w:val="30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Liquidación y optimización de la Cuota Íntegra: Aplicación de deducciones, bonificaciones y límites del grupo fiscal.</w:t>
      </w:r>
    </w:p>
    <w:p w14:paraId="7BFB6A33" w14:textId="77777777" w:rsidR="00184C76" w:rsidRPr="00184C76" w:rsidRDefault="00184C76" w:rsidP="00184C76">
      <w:pPr>
        <w:widowControl w:val="0"/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</w:p>
    <w:p w14:paraId="0BD13AE5" w14:textId="427C742A" w:rsidR="00184C76" w:rsidRPr="00184C76" w:rsidRDefault="00184C76" w:rsidP="00184C76">
      <w:pPr>
        <w:widowControl w:val="0"/>
        <w:pBdr>
          <w:bar w:val="none" w:sz="0" w:color="auto"/>
        </w:pBdr>
        <w:spacing w:after="0" w:line="240" w:lineRule="auto"/>
        <w:jc w:val="both"/>
        <w:rPr>
          <w:rFonts w:eastAsia="Times New Roman" w:cs="Arial"/>
          <w:b/>
          <w:bCs/>
          <w:snapToGrid w:val="0"/>
          <w:sz w:val="20"/>
          <w:szCs w:val="20"/>
        </w:rPr>
      </w:pPr>
      <w:r w:rsidRPr="00184C76">
        <w:rPr>
          <w:rFonts w:eastAsia="Times New Roman" w:cs="Arial"/>
          <w:b/>
          <w:bCs/>
          <w:snapToGrid w:val="0"/>
          <w:sz w:val="20"/>
          <w:szCs w:val="20"/>
        </w:rPr>
        <w:t>3.- Gestión Operativa, Extinción y Efecto Contable</w:t>
      </w:r>
    </w:p>
    <w:p w14:paraId="74CD0E92" w14:textId="77777777" w:rsidR="00184C76" w:rsidRPr="00184C76" w:rsidRDefault="00184C76" w:rsidP="00184C76">
      <w:pPr>
        <w:widowControl w:val="0"/>
        <w:numPr>
          <w:ilvl w:val="0"/>
          <w:numId w:val="31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Obligaciones formales: Declaración, autoliquidación del grupo, gestión de pagos fraccionados y retenciones.</w:t>
      </w:r>
    </w:p>
    <w:p w14:paraId="79B4FDC2" w14:textId="77777777" w:rsidR="00184C76" w:rsidRPr="00184C76" w:rsidRDefault="00184C76" w:rsidP="00184C76">
      <w:pPr>
        <w:widowControl w:val="0"/>
        <w:numPr>
          <w:ilvl w:val="0"/>
          <w:numId w:val="31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Disolución y contingencias: Extinción del grupo, pérdida del régimen especial y destino de los créditos fiscales pendientes.</w:t>
      </w:r>
    </w:p>
    <w:p w14:paraId="4DBABA9A" w14:textId="0DEA2974" w:rsidR="000123F0" w:rsidRPr="00184C76" w:rsidRDefault="00184C76" w:rsidP="000123F0">
      <w:pPr>
        <w:widowControl w:val="0"/>
        <w:numPr>
          <w:ilvl w:val="0"/>
          <w:numId w:val="31"/>
        </w:numPr>
        <w:pBdr>
          <w:bar w:val="none" w:sz="0" w:color="auto"/>
        </w:pBdr>
        <w:spacing w:after="0" w:line="240" w:lineRule="auto"/>
        <w:jc w:val="both"/>
        <w:rPr>
          <w:rFonts w:eastAsia="Times New Roman" w:cs="Arial"/>
          <w:snapToGrid w:val="0"/>
          <w:sz w:val="20"/>
          <w:szCs w:val="20"/>
        </w:rPr>
      </w:pPr>
      <w:r w:rsidRPr="00184C76">
        <w:rPr>
          <w:rFonts w:eastAsia="Times New Roman" w:cs="Arial"/>
          <w:snapToGrid w:val="0"/>
          <w:sz w:val="20"/>
          <w:szCs w:val="20"/>
        </w:rPr>
        <w:t>Contabilización e impacto financiero: Registro contable del efecto impositivo, reparto interno del impuesto entre filiales y relaciones financieras internas.</w:t>
      </w:r>
    </w:p>
    <w:p w14:paraId="36E2A6C4" w14:textId="5E5940DA" w:rsidR="00320102" w:rsidRDefault="00320102" w:rsidP="00C73BE4">
      <w:pPr>
        <w:pStyle w:val="Ttulo3"/>
      </w:pPr>
      <w:r>
        <w:t>Organización:</w:t>
      </w:r>
    </w:p>
    <w:p w14:paraId="4C28B93E" w14:textId="77777777" w:rsidR="00320102" w:rsidRDefault="00320102" w:rsidP="00320102">
      <w:pPr>
        <w:pStyle w:val="Ttulo4"/>
      </w:pPr>
      <w:r w:rsidRPr="00320102">
        <w:t>Plazo de inscripción</w:t>
      </w:r>
    </w:p>
    <w:p w14:paraId="195200A8" w14:textId="1D3C36A0" w:rsidR="00320102" w:rsidRDefault="00320102" w:rsidP="00320102">
      <w:r>
        <w:t xml:space="preserve">La recepción de solicitudes finalizará el </w:t>
      </w:r>
      <w:r w:rsidR="00184C76">
        <w:t>15 de octubre</w:t>
      </w:r>
      <w:r>
        <w:t xml:space="preserve">, a las 15,00 horas. Plazas limitadas </w:t>
      </w:r>
      <w:r w:rsidR="000123F0">
        <w:t>siguiendo las normas de la Fundación Tripartita.</w:t>
      </w:r>
      <w:r>
        <w:t xml:space="preserve"> Se enviará confirmación por correo electrónico. Las cancelaciones efectuadas con posterioridad a dicha fecha, estarán sujetas a la retención del 40% de la cuota de inscripción. Teléfono de información 976 355 000 </w:t>
      </w:r>
    </w:p>
    <w:p w14:paraId="7F59B232" w14:textId="77777777" w:rsidR="00320102" w:rsidRDefault="00320102" w:rsidP="00320102">
      <w:pPr>
        <w:pStyle w:val="Ttulo4"/>
      </w:pPr>
      <w:r>
        <w:t>Cuota de inscripción y forma de pago</w:t>
      </w:r>
    </w:p>
    <w:p w14:paraId="02A1CCEF" w14:textId="6FE24D09" w:rsidR="000123F0" w:rsidRPr="000123F0" w:rsidRDefault="000123F0" w:rsidP="000123F0">
      <w:r>
        <w:t>Bonificables en un porcentaje de la cuota de inscripción. Si desea acogerse a la bonificación deberá realizar la inscripción, como mínimo, 7 días hábiles antes de la fecha de inicio.</w:t>
      </w:r>
    </w:p>
    <w:p w14:paraId="3A9B1007" w14:textId="1B9C80DF" w:rsidR="00320102" w:rsidRDefault="00320102" w:rsidP="00320102">
      <w:pPr>
        <w:pStyle w:val="Prrafodelista"/>
      </w:pPr>
      <w:r>
        <w:lastRenderedPageBreak/>
        <w:t xml:space="preserve">Importe para desempleados (previa confirmación de la plaza) pago con tarjeta de crédito: </w:t>
      </w:r>
      <w:r w:rsidR="00184C76">
        <w:t>63</w:t>
      </w:r>
      <w:r>
        <w:t xml:space="preserve"> euros (incluye documentación).</w:t>
      </w:r>
    </w:p>
    <w:p w14:paraId="792F27D2" w14:textId="0AFA1B7E" w:rsidR="00320102" w:rsidRDefault="00320102" w:rsidP="00320102">
      <w:pPr>
        <w:pStyle w:val="Prrafodelista"/>
      </w:pPr>
      <w:r>
        <w:t>Importe para pagos por domiciliación o tarjeta de crédito (pre</w:t>
      </w:r>
      <w:r w:rsidR="000123F0">
        <w:t xml:space="preserve">via confirmación de la plaza): </w:t>
      </w:r>
      <w:r w:rsidR="00184C76">
        <w:t xml:space="preserve">210 </w:t>
      </w:r>
      <w:r>
        <w:t>euros (incluye documentación).</w:t>
      </w:r>
    </w:p>
    <w:p w14:paraId="061AF80D" w14:textId="5F65147E" w:rsidR="00320102" w:rsidRPr="00320102" w:rsidRDefault="00320102" w:rsidP="00320102">
      <w:pPr>
        <w:pStyle w:val="Cita"/>
        <w:ind w:left="0" w:right="0"/>
        <w:jc w:val="left"/>
        <w:rPr>
          <w:i w:val="0"/>
          <w:iCs w:val="0"/>
          <w:sz w:val="16"/>
          <w:szCs w:val="16"/>
        </w:rPr>
      </w:pPr>
      <w:r w:rsidRPr="00320102">
        <w:rPr>
          <w:i w:val="0"/>
          <w:iCs w:val="0"/>
          <w:sz w:val="16"/>
          <w:szCs w:val="16"/>
        </w:rPr>
        <w:t>En virtud del Decreto 82/2003 de 29 de abril del Gobierno de Aragón, se advierte de que las enseñanzas que se imparten organizadas por la Fundación CAI, no conducen a la obtención de títulos académicos oficiales.</w:t>
      </w:r>
    </w:p>
    <w:p w14:paraId="5E400DD4" w14:textId="77777777" w:rsidR="000123F0" w:rsidRPr="000123F0" w:rsidRDefault="000123F0" w:rsidP="000123F0">
      <w:pPr>
        <w:pBdr>
          <w:bar w:val="none" w:sz="0" w:color="auto"/>
        </w:pBd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0123F0">
        <w:rPr>
          <w:rFonts w:ascii="Arial" w:eastAsia="Times New Roman" w:hAnsi="Arial" w:cs="Arial"/>
          <w:b/>
          <w:bCs/>
          <w:color w:val="000000"/>
          <w:sz w:val="16"/>
          <w:szCs w:val="16"/>
        </w:rPr>
        <w:t>Fundación Caja de Ahorros de la Inmaculada de Aragón</w:t>
      </w:r>
      <w:r w:rsidRPr="000123F0">
        <w:rPr>
          <w:rFonts w:ascii="Arial" w:eastAsia="Times New Roman" w:hAnsi="Arial" w:cs="Arial"/>
          <w:color w:val="000000"/>
          <w:sz w:val="16"/>
          <w:szCs w:val="16"/>
        </w:rPr>
        <w:t> - CIF. G-50000819.</w:t>
      </w:r>
      <w:r w:rsidRPr="000123F0">
        <w:rPr>
          <w:rFonts w:ascii="Arial" w:eastAsia="Times New Roman" w:hAnsi="Arial" w:cs="Arial"/>
          <w:color w:val="000000"/>
          <w:sz w:val="16"/>
          <w:szCs w:val="16"/>
        </w:rPr>
        <w:br/>
        <w:t>Inscrita en el Registro de Fundaciones de la Comunidad Autónoma de Aragón con el número 350/I</w:t>
      </w:r>
      <w:r w:rsidRPr="000123F0">
        <w:rPr>
          <w:rFonts w:ascii="Arial" w:eastAsia="Times New Roman" w:hAnsi="Arial" w:cs="Arial"/>
          <w:color w:val="000000"/>
          <w:sz w:val="16"/>
          <w:szCs w:val="16"/>
        </w:rPr>
        <w:br/>
        <w:t>Domicilio Social: Calle San Braulio, 5-7, 50003 - ZARAGOZA.</w:t>
      </w:r>
    </w:p>
    <w:p w14:paraId="5A5F6D35" w14:textId="77777777" w:rsidR="000123F0" w:rsidRPr="000123F0" w:rsidRDefault="000123F0" w:rsidP="000123F0">
      <w:pPr>
        <w:pBdr>
          <w:bar w:val="none" w:sz="0" w:color="auto"/>
        </w:pBdr>
        <w:spacing w:after="15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 w:rsidRPr="000123F0">
        <w:rPr>
          <w:rFonts w:ascii="Arial" w:eastAsia="Times New Roman" w:hAnsi="Arial" w:cs="Arial"/>
          <w:color w:val="000000"/>
          <w:sz w:val="16"/>
          <w:szCs w:val="16"/>
        </w:rPr>
        <w:t>© 2012-2026  </w:t>
      </w:r>
      <w:r w:rsidRPr="000123F0">
        <w:rPr>
          <w:rFonts w:ascii="Arial" w:eastAsia="Times New Roman" w:hAnsi="Arial" w:cs="Arial"/>
          <w:b/>
          <w:bCs/>
          <w:color w:val="000000"/>
          <w:sz w:val="16"/>
          <w:szCs w:val="16"/>
        </w:rPr>
        <w:t>Fundación Caja Inmaculada</w:t>
      </w:r>
    </w:p>
    <w:p w14:paraId="4F63EE01" w14:textId="77777777" w:rsidR="00320102" w:rsidRPr="00320102" w:rsidRDefault="00320102"/>
    <w:sectPr w:rsidR="00320102" w:rsidRPr="00320102" w:rsidSect="00F91F9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85" w:right="1021" w:bottom="1021" w:left="1021" w:header="56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3EF22" w14:textId="77777777" w:rsidR="00705E63" w:rsidRDefault="00705E63" w:rsidP="00845439">
      <w:r>
        <w:separator/>
      </w:r>
    </w:p>
  </w:endnote>
  <w:endnote w:type="continuationSeparator" w:id="0">
    <w:p w14:paraId="10C55D55" w14:textId="77777777" w:rsidR="00705E63" w:rsidRDefault="00705E63" w:rsidP="0084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altName w:val="Arial"/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ova Cond">
    <w:altName w:val="Arial"/>
    <w:panose1 w:val="020B0806020202020204"/>
    <w:charset w:val="00"/>
    <w:family w:val="swiss"/>
    <w:pitch w:val="variable"/>
    <w:sig w:usb0="2000028F" w:usb1="00000002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Cuadrculadetablaclara"/>
      <w:tblW w:w="10204" w:type="dxa"/>
      <w:tblInd w:w="-3" w:type="dxa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  <w:tblLook w:val="06A0" w:firstRow="1" w:lastRow="0" w:firstColumn="1" w:lastColumn="0" w:noHBand="1" w:noVBand="1"/>
    </w:tblPr>
    <w:tblGrid>
      <w:gridCol w:w="5102"/>
      <w:gridCol w:w="5102"/>
    </w:tblGrid>
    <w:tr w:rsidR="00320102" w14:paraId="4B3ECC74" w14:textId="77777777" w:rsidTr="00320102">
      <w:trPr>
        <w:trHeight w:val="300"/>
      </w:trPr>
      <w:tc>
        <w:tcPr>
          <w:tcW w:w="5102" w:type="dxa"/>
        </w:tcPr>
        <w:p w14:paraId="6914795B" w14:textId="77777777" w:rsidR="00320102" w:rsidRPr="00320102" w:rsidRDefault="00320102" w:rsidP="00320102">
          <w:pPr>
            <w:tabs>
              <w:tab w:val="center" w:pos="4550"/>
              <w:tab w:val="left" w:pos="5818"/>
            </w:tabs>
            <w:spacing w:before="480"/>
            <w:ind w:right="260"/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</w:pP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begin"/>
          </w:r>
          <w:r w:rsidRPr="00320102">
            <w:rPr>
              <w:color w:val="323E4F" w:themeColor="text2" w:themeShade="BF"/>
              <w:sz w:val="16"/>
              <w:szCs w:val="16"/>
            </w:rPr>
            <w:instrText>PAGE   \* MERGEFORMAT</w:instrText>
          </w:r>
          <w:r w:rsidRPr="00320102">
            <w:rPr>
              <w:color w:val="323E4F" w:themeColor="text2" w:themeShade="BF"/>
              <w:sz w:val="16"/>
              <w:szCs w:val="16"/>
            </w:rPr>
            <w:fldChar w:fldCharType="separate"/>
          </w:r>
          <w:r w:rsidR="002F6321" w:rsidRPr="002F6321">
            <w:rPr>
              <w:rFonts w:ascii="Arial Nova Cond" w:eastAsia="Arial Nova Cond" w:hAnsi="Arial Nova Cond" w:cs="Arial Nova Cond"/>
              <w:noProof/>
              <w:color w:val="AEAAAA" w:themeColor="background2" w:themeShade="BF"/>
              <w:sz w:val="16"/>
              <w:szCs w:val="16"/>
            </w:rPr>
            <w:t>3</w:t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end"/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t xml:space="preserve"> | </w:t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begin"/>
          </w:r>
          <w:r w:rsidRPr="00320102">
            <w:rPr>
              <w:color w:val="323E4F" w:themeColor="text2" w:themeShade="BF"/>
              <w:sz w:val="16"/>
              <w:szCs w:val="16"/>
            </w:rPr>
            <w:instrText>NUMPAGES  \* Arabic  \* MERGEFORMAT</w:instrText>
          </w:r>
          <w:r w:rsidRPr="00320102">
            <w:rPr>
              <w:color w:val="323E4F" w:themeColor="text2" w:themeShade="BF"/>
              <w:sz w:val="16"/>
              <w:szCs w:val="16"/>
            </w:rPr>
            <w:fldChar w:fldCharType="separate"/>
          </w:r>
          <w:r w:rsidR="002F6321" w:rsidRPr="002F6321">
            <w:rPr>
              <w:rFonts w:ascii="Arial Nova Cond" w:eastAsia="Arial Nova Cond" w:hAnsi="Arial Nova Cond" w:cs="Arial Nova Cond"/>
              <w:noProof/>
              <w:color w:val="AEAAAA" w:themeColor="background2" w:themeShade="BF"/>
              <w:sz w:val="16"/>
              <w:szCs w:val="16"/>
            </w:rPr>
            <w:t>3</w:t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end"/>
          </w:r>
        </w:p>
      </w:tc>
      <w:tc>
        <w:tcPr>
          <w:tcW w:w="5102" w:type="dxa"/>
        </w:tcPr>
        <w:p w14:paraId="51808A19" w14:textId="13DD24CC" w:rsidR="00320102" w:rsidRPr="00320102" w:rsidRDefault="00F91F97" w:rsidP="00320102">
          <w:pPr>
            <w:spacing w:before="480"/>
            <w:jc w:val="right"/>
            <w:rPr>
              <w:rFonts w:ascii="Arial Nova Cond" w:eastAsia="Arial Nova Cond" w:hAnsi="Arial Nova Cond" w:cs="Arial Nova Cond"/>
              <w:color w:val="222A35" w:themeColor="text2" w:themeShade="80"/>
              <w:sz w:val="16"/>
              <w:szCs w:val="16"/>
            </w:rPr>
          </w:pPr>
          <w:r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t xml:space="preserve">Formación Empresarial Fundación </w:t>
          </w:r>
        </w:p>
      </w:tc>
    </w:tr>
  </w:tbl>
  <w:p w14:paraId="34562B63" w14:textId="5FDD551D" w:rsidR="5E65E4BD" w:rsidRDefault="5E65E4BD" w:rsidP="0084543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Cuadrculadetablaclara"/>
      <w:tblW w:w="10204" w:type="dxa"/>
      <w:tblInd w:w="-3" w:type="dxa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  <w:tblLook w:val="06A0" w:firstRow="1" w:lastRow="0" w:firstColumn="1" w:lastColumn="0" w:noHBand="1" w:noVBand="1"/>
    </w:tblPr>
    <w:tblGrid>
      <w:gridCol w:w="5102"/>
      <w:gridCol w:w="5102"/>
    </w:tblGrid>
    <w:tr w:rsidR="00F91F97" w14:paraId="41962023" w14:textId="77777777" w:rsidTr="00264C95">
      <w:trPr>
        <w:trHeight w:val="300"/>
      </w:trPr>
      <w:tc>
        <w:tcPr>
          <w:tcW w:w="5102" w:type="dxa"/>
        </w:tcPr>
        <w:p w14:paraId="7E63AF6F" w14:textId="77777777" w:rsidR="00F91F97" w:rsidRPr="00320102" w:rsidRDefault="00F91F97" w:rsidP="00F91F97">
          <w:pPr>
            <w:tabs>
              <w:tab w:val="center" w:pos="4550"/>
              <w:tab w:val="left" w:pos="5818"/>
            </w:tabs>
            <w:spacing w:before="480"/>
            <w:ind w:right="260"/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</w:pP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begin"/>
          </w:r>
          <w:r w:rsidRPr="00320102">
            <w:rPr>
              <w:color w:val="323E4F" w:themeColor="text2" w:themeShade="BF"/>
              <w:sz w:val="16"/>
              <w:szCs w:val="16"/>
            </w:rPr>
            <w:instrText>PAGE   \* MERGEFORMAT</w:instrText>
          </w:r>
          <w:r w:rsidRPr="00320102">
            <w:rPr>
              <w:color w:val="323E4F" w:themeColor="text2" w:themeShade="BF"/>
              <w:sz w:val="16"/>
              <w:szCs w:val="16"/>
            </w:rPr>
            <w:fldChar w:fldCharType="separate"/>
          </w:r>
          <w:r w:rsidR="002F6321" w:rsidRPr="002F6321">
            <w:rPr>
              <w:rFonts w:ascii="Arial Nova Cond" w:eastAsia="Arial Nova Cond" w:hAnsi="Arial Nova Cond" w:cs="Arial Nova Cond"/>
              <w:noProof/>
              <w:color w:val="AEAAAA" w:themeColor="background2" w:themeShade="BF"/>
              <w:sz w:val="16"/>
              <w:szCs w:val="16"/>
            </w:rPr>
            <w:t>1</w:t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end"/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t xml:space="preserve"> | </w:t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begin"/>
          </w:r>
          <w:r w:rsidRPr="00320102">
            <w:rPr>
              <w:color w:val="323E4F" w:themeColor="text2" w:themeShade="BF"/>
              <w:sz w:val="16"/>
              <w:szCs w:val="16"/>
            </w:rPr>
            <w:instrText>NUMPAGES  \* Arabic  \* MERGEFORMAT</w:instrText>
          </w:r>
          <w:r w:rsidRPr="00320102">
            <w:rPr>
              <w:color w:val="323E4F" w:themeColor="text2" w:themeShade="BF"/>
              <w:sz w:val="16"/>
              <w:szCs w:val="16"/>
            </w:rPr>
            <w:fldChar w:fldCharType="separate"/>
          </w:r>
          <w:r w:rsidR="002F6321" w:rsidRPr="002F6321">
            <w:rPr>
              <w:rFonts w:ascii="Arial Nova Cond" w:eastAsia="Arial Nova Cond" w:hAnsi="Arial Nova Cond" w:cs="Arial Nova Cond"/>
              <w:noProof/>
              <w:color w:val="AEAAAA" w:themeColor="background2" w:themeShade="BF"/>
              <w:sz w:val="16"/>
              <w:szCs w:val="16"/>
            </w:rPr>
            <w:t>3</w:t>
          </w:r>
          <w:r w:rsidRPr="00320102"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fldChar w:fldCharType="end"/>
          </w:r>
        </w:p>
      </w:tc>
      <w:tc>
        <w:tcPr>
          <w:tcW w:w="5102" w:type="dxa"/>
        </w:tcPr>
        <w:p w14:paraId="514E3D65" w14:textId="77777777" w:rsidR="00F91F97" w:rsidRPr="00320102" w:rsidRDefault="00F91F97" w:rsidP="00F91F97">
          <w:pPr>
            <w:spacing w:before="480"/>
            <w:jc w:val="right"/>
            <w:rPr>
              <w:rFonts w:ascii="Arial Nova Cond" w:eastAsia="Arial Nova Cond" w:hAnsi="Arial Nova Cond" w:cs="Arial Nova Cond"/>
              <w:color w:val="222A35" w:themeColor="text2" w:themeShade="80"/>
              <w:sz w:val="16"/>
              <w:szCs w:val="16"/>
            </w:rPr>
          </w:pPr>
          <w:r>
            <w:rPr>
              <w:rFonts w:ascii="Arial Nova Cond" w:eastAsia="Arial Nova Cond" w:hAnsi="Arial Nova Cond" w:cs="Arial Nova Cond"/>
              <w:color w:val="AEAAAA" w:themeColor="background2" w:themeShade="BF"/>
              <w:sz w:val="16"/>
              <w:szCs w:val="16"/>
            </w:rPr>
            <w:t xml:space="preserve">Formación Empresarial Fundación </w:t>
          </w:r>
        </w:p>
      </w:tc>
    </w:tr>
  </w:tbl>
  <w:p w14:paraId="4407E832" w14:textId="57480617" w:rsidR="00F91F97" w:rsidRDefault="00F91F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A8FE0" w14:textId="77777777" w:rsidR="00705E63" w:rsidRDefault="00705E63" w:rsidP="00845439">
      <w:bookmarkStart w:id="0" w:name="_Hlk158200655"/>
      <w:bookmarkEnd w:id="0"/>
      <w:r>
        <w:separator/>
      </w:r>
    </w:p>
  </w:footnote>
  <w:footnote w:type="continuationSeparator" w:id="0">
    <w:p w14:paraId="564072CE" w14:textId="77777777" w:rsidR="00705E63" w:rsidRDefault="00705E63" w:rsidP="00845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F9F3E" w14:textId="37DD3576" w:rsidR="00FF2491" w:rsidRDefault="00346E9C" w:rsidP="00845439">
    <w:pPr>
      <w:pStyle w:val="Encabezado"/>
      <w:rPr>
        <w:rFonts w:ascii="Arial" w:eastAsia="Arial" w:hAnsi="Arial" w:cs="Arial"/>
      </w:rPr>
    </w:pPr>
    <w:r>
      <w:rPr>
        <w:noProof/>
        <w:lang w:eastAsia="es-ES"/>
      </w:rPr>
      <w:drawing>
        <wp:anchor distT="0" distB="0" distL="114300" distR="114300" simplePos="0" relativeHeight="251670528" behindDoc="1" locked="0" layoutInCell="1" allowOverlap="1" wp14:anchorId="3C58BB52" wp14:editId="3BC86E96">
          <wp:simplePos x="0" y="0"/>
          <wp:positionH relativeFrom="column">
            <wp:posOffset>3971714</wp:posOffset>
          </wp:positionH>
          <wp:positionV relativeFrom="paragraph">
            <wp:posOffset>109220</wp:posOffset>
          </wp:positionV>
          <wp:extent cx="850504" cy="257921"/>
          <wp:effectExtent l="0" t="0" r="635" b="0"/>
          <wp:wrapNone/>
          <wp:docPr id="8339904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061364" name="Imagen 15960613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504" cy="257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7EC1">
      <w:rPr>
        <w:noProof/>
        <w:lang w:eastAsia="es-ES"/>
      </w:rPr>
      <w:drawing>
        <wp:anchor distT="0" distB="0" distL="114300" distR="114300" simplePos="0" relativeHeight="251667456" behindDoc="1" locked="0" layoutInCell="1" allowOverlap="1" wp14:anchorId="7C866BA0" wp14:editId="0984A90E">
          <wp:simplePos x="0" y="0"/>
          <wp:positionH relativeFrom="column">
            <wp:posOffset>5032587</wp:posOffset>
          </wp:positionH>
          <wp:positionV relativeFrom="paragraph">
            <wp:posOffset>81280</wp:posOffset>
          </wp:positionV>
          <wp:extent cx="1402715" cy="307975"/>
          <wp:effectExtent l="0" t="0" r="0" b="0"/>
          <wp:wrapNone/>
          <wp:docPr id="45770188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869406" name="Imagen 91986940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2715" cy="307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581FF9B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7287ED0" wp14:editId="27F4AC45">
          <wp:simplePos x="0" y="0"/>
          <wp:positionH relativeFrom="column">
            <wp:posOffset>-30268</wp:posOffset>
          </wp:positionH>
          <wp:positionV relativeFrom="paragraph">
            <wp:posOffset>80222</wp:posOffset>
          </wp:positionV>
          <wp:extent cx="1600200" cy="417313"/>
          <wp:effectExtent l="0" t="0" r="0" b="1905"/>
          <wp:wrapNone/>
          <wp:docPr id="121291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032" cy="421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E228FF" w14:textId="1C23C180" w:rsidR="7581FF9B" w:rsidRDefault="7581FF9B" w:rsidP="0084543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898C8" w14:textId="2BFFD2AF" w:rsidR="00320102" w:rsidRDefault="00346E9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8480" behindDoc="1" locked="0" layoutInCell="1" allowOverlap="1" wp14:anchorId="10424BF5" wp14:editId="2B45736E">
          <wp:simplePos x="0" y="0"/>
          <wp:positionH relativeFrom="column">
            <wp:posOffset>3432387</wp:posOffset>
          </wp:positionH>
          <wp:positionV relativeFrom="paragraph">
            <wp:posOffset>198755</wp:posOffset>
          </wp:positionV>
          <wp:extent cx="1011978" cy="306890"/>
          <wp:effectExtent l="0" t="0" r="4445" b="0"/>
          <wp:wrapNone/>
          <wp:docPr id="15960613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061364" name="Imagen 15960613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978" cy="30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7EC1">
      <w:rPr>
        <w:noProof/>
        <w:lang w:eastAsia="es-ES"/>
      </w:rPr>
      <w:drawing>
        <wp:anchor distT="0" distB="0" distL="114300" distR="114300" simplePos="0" relativeHeight="251665408" behindDoc="1" locked="0" layoutInCell="1" allowOverlap="1" wp14:anchorId="19DA87EF" wp14:editId="73227616">
          <wp:simplePos x="0" y="0"/>
          <wp:positionH relativeFrom="column">
            <wp:posOffset>4660265</wp:posOffset>
          </wp:positionH>
          <wp:positionV relativeFrom="paragraph">
            <wp:posOffset>177377</wp:posOffset>
          </wp:positionV>
          <wp:extent cx="1631315" cy="358662"/>
          <wp:effectExtent l="0" t="0" r="0" b="0"/>
          <wp:wrapNone/>
          <wp:docPr id="91986940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869406" name="Imagen 91986940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315" cy="3586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87B"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53494345" wp14:editId="0FAE2C81">
          <wp:simplePos x="0" y="0"/>
          <wp:positionH relativeFrom="column">
            <wp:posOffset>3175</wp:posOffset>
          </wp:positionH>
          <wp:positionV relativeFrom="paragraph">
            <wp:posOffset>54610</wp:posOffset>
          </wp:positionV>
          <wp:extent cx="2243667" cy="585122"/>
          <wp:effectExtent l="0" t="0" r="4445" b="0"/>
          <wp:wrapNone/>
          <wp:docPr id="3242581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667" cy="585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Forma&#10;&#10;&#10;&#10;&#10;&#10;&#10;&#10;&#10;&#10;&#10;&#10;&#10;&#10;&#10;&#10;&#10;&#10;Descripción generada automáticamente con confianza baja" style="width:384pt;height:384pt;visibility:visible;mso-wrap-style:square" o:bullet="t">
        <v:imagedata r:id="rId1" o:title="Forma&#10;&#10;&#10;&#10;&#10;&#10;&#10;&#10;&#10;&#10;&#10;&#10;&#10;&#10;&#10;&#10;&#10;&#10;Descripción generada automáticamente con confianza baja"/>
      </v:shape>
    </w:pict>
  </w:numPicBullet>
  <w:abstractNum w:abstractNumId="0" w15:restartNumberingAfterBreak="0">
    <w:nsid w:val="02732E6B"/>
    <w:multiLevelType w:val="hybridMultilevel"/>
    <w:tmpl w:val="037A97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203BE"/>
    <w:multiLevelType w:val="hybridMultilevel"/>
    <w:tmpl w:val="040EDDA0"/>
    <w:lvl w:ilvl="0" w:tplc="040A000F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A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56DC"/>
    <w:multiLevelType w:val="multilevel"/>
    <w:tmpl w:val="D91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200D5"/>
    <w:multiLevelType w:val="multilevel"/>
    <w:tmpl w:val="544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15B67"/>
    <w:multiLevelType w:val="multilevel"/>
    <w:tmpl w:val="AF5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B3DA9"/>
    <w:multiLevelType w:val="hybridMultilevel"/>
    <w:tmpl w:val="58CCE5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5A16"/>
    <w:multiLevelType w:val="hybridMultilevel"/>
    <w:tmpl w:val="693A31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57C39"/>
    <w:multiLevelType w:val="hybridMultilevel"/>
    <w:tmpl w:val="F49C95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E089F"/>
    <w:multiLevelType w:val="multilevel"/>
    <w:tmpl w:val="F6FA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777F83"/>
    <w:multiLevelType w:val="hybridMultilevel"/>
    <w:tmpl w:val="CAF6C74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5260D"/>
    <w:multiLevelType w:val="hybridMultilevel"/>
    <w:tmpl w:val="0700040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D7F52"/>
    <w:multiLevelType w:val="multilevel"/>
    <w:tmpl w:val="A326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C56F0D"/>
    <w:multiLevelType w:val="hybridMultilevel"/>
    <w:tmpl w:val="062C3574"/>
    <w:lvl w:ilvl="0" w:tplc="0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0092F"/>
    <w:multiLevelType w:val="hybridMultilevel"/>
    <w:tmpl w:val="E63AEE0A"/>
    <w:lvl w:ilvl="0" w:tplc="73E0B57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A213A"/>
    <w:multiLevelType w:val="hybridMultilevel"/>
    <w:tmpl w:val="C0AC1E04"/>
    <w:lvl w:ilvl="0" w:tplc="DCBCCAE4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47B50"/>
    <w:multiLevelType w:val="hybridMultilevel"/>
    <w:tmpl w:val="D9C88854"/>
    <w:lvl w:ilvl="0" w:tplc="8D4289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F02C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7A79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F21A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90DC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AED4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D82D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AAA7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5E3A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E466638"/>
    <w:multiLevelType w:val="multilevel"/>
    <w:tmpl w:val="6456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AB5102"/>
    <w:multiLevelType w:val="multilevel"/>
    <w:tmpl w:val="E0CE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064F7F"/>
    <w:multiLevelType w:val="hybridMultilevel"/>
    <w:tmpl w:val="5DDEA25A"/>
    <w:lvl w:ilvl="0" w:tplc="C060C866">
      <w:start w:val="1"/>
      <w:numFmt w:val="bullet"/>
      <w:lvlText w:val=""/>
      <w:lvlJc w:val="left"/>
      <w:pPr>
        <w:ind w:left="56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56E78"/>
    <w:multiLevelType w:val="multilevel"/>
    <w:tmpl w:val="A466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E6E1F"/>
    <w:multiLevelType w:val="multilevel"/>
    <w:tmpl w:val="DA2C5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383840"/>
    <w:multiLevelType w:val="multilevel"/>
    <w:tmpl w:val="7208F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697A49"/>
    <w:multiLevelType w:val="hybridMultilevel"/>
    <w:tmpl w:val="99886568"/>
    <w:lvl w:ilvl="0" w:tplc="7A34B78A">
      <w:numFmt w:val="bullet"/>
      <w:lvlText w:val="-"/>
      <w:lvlJc w:val="left"/>
      <w:pPr>
        <w:ind w:left="720" w:hanging="360"/>
      </w:pPr>
      <w:rPr>
        <w:rFonts w:ascii="Arial Nova" w:eastAsia="Times New Roman" w:hAnsi="Arial Nov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E2463"/>
    <w:multiLevelType w:val="multilevel"/>
    <w:tmpl w:val="4DE8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3C3DF0"/>
    <w:multiLevelType w:val="hybridMultilevel"/>
    <w:tmpl w:val="8FEE182A"/>
    <w:lvl w:ilvl="0" w:tplc="6598ED6C">
      <w:start w:val="1"/>
      <w:numFmt w:val="bullet"/>
      <w:pStyle w:val="Prrafodelista"/>
      <w:lvlText w:val=""/>
      <w:lvlJc w:val="left"/>
      <w:pPr>
        <w:ind w:left="454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321B3"/>
    <w:multiLevelType w:val="hybridMultilevel"/>
    <w:tmpl w:val="054C9A46"/>
    <w:lvl w:ilvl="0" w:tplc="F314D4C4">
      <w:numFmt w:val="bullet"/>
      <w:lvlText w:val="-"/>
      <w:lvlJc w:val="left"/>
      <w:pPr>
        <w:ind w:left="360" w:hanging="360"/>
      </w:pPr>
      <w:rPr>
        <w:rFonts w:ascii="Arial Nova" w:eastAsia="Arial Nova" w:hAnsi="Arial Nova" w:cs="Arial Nova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B45878"/>
    <w:multiLevelType w:val="hybridMultilevel"/>
    <w:tmpl w:val="8D800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703DD"/>
    <w:multiLevelType w:val="hybridMultilevel"/>
    <w:tmpl w:val="A0CE8E22"/>
    <w:lvl w:ilvl="0" w:tplc="F314D4C4">
      <w:numFmt w:val="bullet"/>
      <w:lvlText w:val="-"/>
      <w:lvlJc w:val="left"/>
      <w:pPr>
        <w:ind w:left="720" w:hanging="360"/>
      </w:pPr>
      <w:rPr>
        <w:rFonts w:ascii="Arial Nova" w:eastAsia="Arial Nova" w:hAnsi="Arial Nova" w:cs="Arial Nov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E4255"/>
    <w:multiLevelType w:val="multilevel"/>
    <w:tmpl w:val="ED06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DC5565"/>
    <w:multiLevelType w:val="multilevel"/>
    <w:tmpl w:val="82B6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334884"/>
    <w:multiLevelType w:val="multilevel"/>
    <w:tmpl w:val="614A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5"/>
  </w:num>
  <w:num w:numId="3">
    <w:abstractNumId w:val="20"/>
  </w:num>
  <w:num w:numId="4">
    <w:abstractNumId w:val="21"/>
  </w:num>
  <w:num w:numId="5">
    <w:abstractNumId w:val="30"/>
  </w:num>
  <w:num w:numId="6">
    <w:abstractNumId w:val="12"/>
  </w:num>
  <w:num w:numId="7">
    <w:abstractNumId w:val="29"/>
  </w:num>
  <w:num w:numId="8">
    <w:abstractNumId w:val="3"/>
  </w:num>
  <w:num w:numId="9">
    <w:abstractNumId w:val="9"/>
  </w:num>
  <w:num w:numId="10">
    <w:abstractNumId w:val="28"/>
  </w:num>
  <w:num w:numId="11">
    <w:abstractNumId w:val="8"/>
  </w:num>
  <w:num w:numId="12">
    <w:abstractNumId w:val="17"/>
  </w:num>
  <w:num w:numId="13">
    <w:abstractNumId w:val="4"/>
  </w:num>
  <w:num w:numId="14">
    <w:abstractNumId w:val="16"/>
  </w:num>
  <w:num w:numId="15">
    <w:abstractNumId w:val="2"/>
  </w:num>
  <w:num w:numId="16">
    <w:abstractNumId w:val="19"/>
  </w:num>
  <w:num w:numId="17">
    <w:abstractNumId w:val="11"/>
  </w:num>
  <w:num w:numId="18">
    <w:abstractNumId w:val="23"/>
  </w:num>
  <w:num w:numId="19">
    <w:abstractNumId w:val="10"/>
  </w:num>
  <w:num w:numId="20">
    <w:abstractNumId w:val="18"/>
  </w:num>
  <w:num w:numId="21">
    <w:abstractNumId w:val="24"/>
  </w:num>
  <w:num w:numId="22">
    <w:abstractNumId w:val="14"/>
  </w:num>
  <w:num w:numId="23">
    <w:abstractNumId w:val="1"/>
  </w:num>
  <w:num w:numId="24">
    <w:abstractNumId w:val="25"/>
  </w:num>
  <w:num w:numId="25">
    <w:abstractNumId w:val="27"/>
  </w:num>
  <w:num w:numId="26">
    <w:abstractNumId w:val="26"/>
  </w:num>
  <w:num w:numId="27">
    <w:abstractNumId w:val="22"/>
  </w:num>
  <w:num w:numId="28">
    <w:abstractNumId w:val="5"/>
  </w:num>
  <w:num w:numId="29">
    <w:abstractNumId w:val="0"/>
  </w:num>
  <w:num w:numId="30">
    <w:abstractNumId w:val="7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C9"/>
    <w:rsid w:val="00004F32"/>
    <w:rsid w:val="000123F0"/>
    <w:rsid w:val="00024D74"/>
    <w:rsid w:val="00030E85"/>
    <w:rsid w:val="000367CC"/>
    <w:rsid w:val="00044C55"/>
    <w:rsid w:val="00047618"/>
    <w:rsid w:val="000506EE"/>
    <w:rsid w:val="00062A1A"/>
    <w:rsid w:val="00064C7C"/>
    <w:rsid w:val="00071B9E"/>
    <w:rsid w:val="00071EF7"/>
    <w:rsid w:val="00072B86"/>
    <w:rsid w:val="000839BA"/>
    <w:rsid w:val="00096BE1"/>
    <w:rsid w:val="000A7ACE"/>
    <w:rsid w:val="000A7FE2"/>
    <w:rsid w:val="000B27A0"/>
    <w:rsid w:val="000C3396"/>
    <w:rsid w:val="000E020C"/>
    <w:rsid w:val="00114254"/>
    <w:rsid w:val="00115C31"/>
    <w:rsid w:val="001160EE"/>
    <w:rsid w:val="0014249A"/>
    <w:rsid w:val="001533B2"/>
    <w:rsid w:val="00184C76"/>
    <w:rsid w:val="00197634"/>
    <w:rsid w:val="001A7DDC"/>
    <w:rsid w:val="001C6E2F"/>
    <w:rsid w:val="002113AE"/>
    <w:rsid w:val="00213DB5"/>
    <w:rsid w:val="002247E1"/>
    <w:rsid w:val="00242E13"/>
    <w:rsid w:val="00290A5E"/>
    <w:rsid w:val="002A260C"/>
    <w:rsid w:val="002B487B"/>
    <w:rsid w:val="002C7971"/>
    <w:rsid w:val="002D42AE"/>
    <w:rsid w:val="002D5095"/>
    <w:rsid w:val="002F0F0D"/>
    <w:rsid w:val="002F6321"/>
    <w:rsid w:val="002F6A15"/>
    <w:rsid w:val="002F6C8D"/>
    <w:rsid w:val="003050E5"/>
    <w:rsid w:val="00320102"/>
    <w:rsid w:val="00341DFF"/>
    <w:rsid w:val="003459EB"/>
    <w:rsid w:val="00346E9C"/>
    <w:rsid w:val="003B1372"/>
    <w:rsid w:val="003C0833"/>
    <w:rsid w:val="003C4F66"/>
    <w:rsid w:val="003D2C63"/>
    <w:rsid w:val="003D32C8"/>
    <w:rsid w:val="003F5722"/>
    <w:rsid w:val="00403F6E"/>
    <w:rsid w:val="00416D9F"/>
    <w:rsid w:val="0042368C"/>
    <w:rsid w:val="00441D32"/>
    <w:rsid w:val="004859BC"/>
    <w:rsid w:val="00487265"/>
    <w:rsid w:val="004C3352"/>
    <w:rsid w:val="004D0C2B"/>
    <w:rsid w:val="004E4577"/>
    <w:rsid w:val="004F4B67"/>
    <w:rsid w:val="00503415"/>
    <w:rsid w:val="00512CD5"/>
    <w:rsid w:val="00513B06"/>
    <w:rsid w:val="0052059A"/>
    <w:rsid w:val="0056482C"/>
    <w:rsid w:val="00571BB2"/>
    <w:rsid w:val="00580717"/>
    <w:rsid w:val="00580ED7"/>
    <w:rsid w:val="00584784"/>
    <w:rsid w:val="00590C8E"/>
    <w:rsid w:val="00591A23"/>
    <w:rsid w:val="00597EEA"/>
    <w:rsid w:val="005A7816"/>
    <w:rsid w:val="005D3A6E"/>
    <w:rsid w:val="005D5D13"/>
    <w:rsid w:val="005D68C9"/>
    <w:rsid w:val="005E1D6B"/>
    <w:rsid w:val="005E7B69"/>
    <w:rsid w:val="005F4821"/>
    <w:rsid w:val="00604FF2"/>
    <w:rsid w:val="0061566D"/>
    <w:rsid w:val="006226C9"/>
    <w:rsid w:val="006255EE"/>
    <w:rsid w:val="00633BF8"/>
    <w:rsid w:val="00642C04"/>
    <w:rsid w:val="00663151"/>
    <w:rsid w:val="00667099"/>
    <w:rsid w:val="00667FF4"/>
    <w:rsid w:val="00675570"/>
    <w:rsid w:val="00696EF8"/>
    <w:rsid w:val="006A4091"/>
    <w:rsid w:val="006A53B8"/>
    <w:rsid w:val="006A7193"/>
    <w:rsid w:val="006B22FD"/>
    <w:rsid w:val="006E5A74"/>
    <w:rsid w:val="006F0B7D"/>
    <w:rsid w:val="006F2D7F"/>
    <w:rsid w:val="00705E63"/>
    <w:rsid w:val="0071126C"/>
    <w:rsid w:val="00713A6E"/>
    <w:rsid w:val="007235CF"/>
    <w:rsid w:val="00743F3D"/>
    <w:rsid w:val="007A0CD6"/>
    <w:rsid w:val="007A3B9A"/>
    <w:rsid w:val="007B3149"/>
    <w:rsid w:val="007C4B7E"/>
    <w:rsid w:val="007D0CD6"/>
    <w:rsid w:val="007F4D7F"/>
    <w:rsid w:val="00803EB3"/>
    <w:rsid w:val="0080542D"/>
    <w:rsid w:val="008075DB"/>
    <w:rsid w:val="00821956"/>
    <w:rsid w:val="00836A6E"/>
    <w:rsid w:val="00845439"/>
    <w:rsid w:val="00846E25"/>
    <w:rsid w:val="00851064"/>
    <w:rsid w:val="00856378"/>
    <w:rsid w:val="00863F20"/>
    <w:rsid w:val="00865B1A"/>
    <w:rsid w:val="0086740A"/>
    <w:rsid w:val="0088225E"/>
    <w:rsid w:val="00882EB4"/>
    <w:rsid w:val="008A4208"/>
    <w:rsid w:val="008B1970"/>
    <w:rsid w:val="008B371C"/>
    <w:rsid w:val="008B702C"/>
    <w:rsid w:val="008E78ED"/>
    <w:rsid w:val="008F03CA"/>
    <w:rsid w:val="00904B43"/>
    <w:rsid w:val="0091646A"/>
    <w:rsid w:val="00956A0C"/>
    <w:rsid w:val="0096017B"/>
    <w:rsid w:val="00962A72"/>
    <w:rsid w:val="00963DDE"/>
    <w:rsid w:val="009649B3"/>
    <w:rsid w:val="009729CA"/>
    <w:rsid w:val="00973D67"/>
    <w:rsid w:val="00987A5F"/>
    <w:rsid w:val="009A0D53"/>
    <w:rsid w:val="009A38AA"/>
    <w:rsid w:val="009B003F"/>
    <w:rsid w:val="009B729C"/>
    <w:rsid w:val="009B7C07"/>
    <w:rsid w:val="009C7752"/>
    <w:rsid w:val="009C7D8E"/>
    <w:rsid w:val="009D0195"/>
    <w:rsid w:val="009D3D09"/>
    <w:rsid w:val="009E2314"/>
    <w:rsid w:val="009E56F1"/>
    <w:rsid w:val="009E7860"/>
    <w:rsid w:val="009F2CAC"/>
    <w:rsid w:val="00A0572C"/>
    <w:rsid w:val="00A2166B"/>
    <w:rsid w:val="00A21E6F"/>
    <w:rsid w:val="00A22BF4"/>
    <w:rsid w:val="00A240B3"/>
    <w:rsid w:val="00A2607B"/>
    <w:rsid w:val="00A3014E"/>
    <w:rsid w:val="00A3047B"/>
    <w:rsid w:val="00A55D31"/>
    <w:rsid w:val="00A62126"/>
    <w:rsid w:val="00A621C4"/>
    <w:rsid w:val="00A66C37"/>
    <w:rsid w:val="00A901DE"/>
    <w:rsid w:val="00A978F3"/>
    <w:rsid w:val="00AB34BD"/>
    <w:rsid w:val="00AC26CF"/>
    <w:rsid w:val="00AC2FC2"/>
    <w:rsid w:val="00AD0956"/>
    <w:rsid w:val="00AD7B4E"/>
    <w:rsid w:val="00AE6E47"/>
    <w:rsid w:val="00B07DA1"/>
    <w:rsid w:val="00B12FA8"/>
    <w:rsid w:val="00B13C4E"/>
    <w:rsid w:val="00B16995"/>
    <w:rsid w:val="00B25567"/>
    <w:rsid w:val="00B30C7C"/>
    <w:rsid w:val="00B40B08"/>
    <w:rsid w:val="00B524F6"/>
    <w:rsid w:val="00B60CA7"/>
    <w:rsid w:val="00BA69A9"/>
    <w:rsid w:val="00BB2646"/>
    <w:rsid w:val="00BB60F1"/>
    <w:rsid w:val="00BB7507"/>
    <w:rsid w:val="00BD3AB0"/>
    <w:rsid w:val="00BD762F"/>
    <w:rsid w:val="00BE0A7A"/>
    <w:rsid w:val="00BE1E1C"/>
    <w:rsid w:val="00BE66CD"/>
    <w:rsid w:val="00BF7875"/>
    <w:rsid w:val="00C07BD2"/>
    <w:rsid w:val="00C227C4"/>
    <w:rsid w:val="00C32065"/>
    <w:rsid w:val="00C42C42"/>
    <w:rsid w:val="00C5204F"/>
    <w:rsid w:val="00C533A1"/>
    <w:rsid w:val="00C57007"/>
    <w:rsid w:val="00C61527"/>
    <w:rsid w:val="00C632AF"/>
    <w:rsid w:val="00C73BE4"/>
    <w:rsid w:val="00C85A8A"/>
    <w:rsid w:val="00C91FB2"/>
    <w:rsid w:val="00CA0090"/>
    <w:rsid w:val="00CA3F57"/>
    <w:rsid w:val="00CA5CD1"/>
    <w:rsid w:val="00CA6ED6"/>
    <w:rsid w:val="00CC559C"/>
    <w:rsid w:val="00CF2355"/>
    <w:rsid w:val="00D01293"/>
    <w:rsid w:val="00D246C6"/>
    <w:rsid w:val="00D35906"/>
    <w:rsid w:val="00D37075"/>
    <w:rsid w:val="00D51677"/>
    <w:rsid w:val="00D53C26"/>
    <w:rsid w:val="00D62AF9"/>
    <w:rsid w:val="00D7328D"/>
    <w:rsid w:val="00D90A9C"/>
    <w:rsid w:val="00D92D99"/>
    <w:rsid w:val="00DB25D0"/>
    <w:rsid w:val="00DB2AB5"/>
    <w:rsid w:val="00DB79BB"/>
    <w:rsid w:val="00DC39D1"/>
    <w:rsid w:val="00DE2EB6"/>
    <w:rsid w:val="00E055A9"/>
    <w:rsid w:val="00E17EC1"/>
    <w:rsid w:val="00E27A0C"/>
    <w:rsid w:val="00E357D0"/>
    <w:rsid w:val="00E401F0"/>
    <w:rsid w:val="00E538E3"/>
    <w:rsid w:val="00E55914"/>
    <w:rsid w:val="00E57289"/>
    <w:rsid w:val="00E638AB"/>
    <w:rsid w:val="00E919BE"/>
    <w:rsid w:val="00EA72AB"/>
    <w:rsid w:val="00EB406F"/>
    <w:rsid w:val="00EC0DF9"/>
    <w:rsid w:val="00F02096"/>
    <w:rsid w:val="00F063CC"/>
    <w:rsid w:val="00F26CE2"/>
    <w:rsid w:val="00F30EE0"/>
    <w:rsid w:val="00F31EBB"/>
    <w:rsid w:val="00F40D86"/>
    <w:rsid w:val="00F42809"/>
    <w:rsid w:val="00F440D7"/>
    <w:rsid w:val="00F454B5"/>
    <w:rsid w:val="00F47C6B"/>
    <w:rsid w:val="00F51B95"/>
    <w:rsid w:val="00F72C89"/>
    <w:rsid w:val="00F90938"/>
    <w:rsid w:val="00F91F97"/>
    <w:rsid w:val="00FA2B7F"/>
    <w:rsid w:val="00FB3C5E"/>
    <w:rsid w:val="00FB52F4"/>
    <w:rsid w:val="00FC0EDE"/>
    <w:rsid w:val="00FD28D7"/>
    <w:rsid w:val="00FF2491"/>
    <w:rsid w:val="02E0C4AB"/>
    <w:rsid w:val="03095AD0"/>
    <w:rsid w:val="031AD8A6"/>
    <w:rsid w:val="04C45B01"/>
    <w:rsid w:val="07660291"/>
    <w:rsid w:val="07D82E09"/>
    <w:rsid w:val="08159557"/>
    <w:rsid w:val="08D468CA"/>
    <w:rsid w:val="09F3D8B3"/>
    <w:rsid w:val="0A22E434"/>
    <w:rsid w:val="0A9CE262"/>
    <w:rsid w:val="0CD33A6B"/>
    <w:rsid w:val="0D346B46"/>
    <w:rsid w:val="0D395222"/>
    <w:rsid w:val="0DDE5EF7"/>
    <w:rsid w:val="0DFD0C65"/>
    <w:rsid w:val="0EECE45B"/>
    <w:rsid w:val="0F87508B"/>
    <w:rsid w:val="100955D0"/>
    <w:rsid w:val="12483902"/>
    <w:rsid w:val="1273B1A9"/>
    <w:rsid w:val="1399F89D"/>
    <w:rsid w:val="13DD04E2"/>
    <w:rsid w:val="142DB918"/>
    <w:rsid w:val="14532CEA"/>
    <w:rsid w:val="18494C4E"/>
    <w:rsid w:val="1864F9DD"/>
    <w:rsid w:val="1AEE0F11"/>
    <w:rsid w:val="1BE95242"/>
    <w:rsid w:val="1C05F700"/>
    <w:rsid w:val="1D22BFA2"/>
    <w:rsid w:val="21E04F8C"/>
    <w:rsid w:val="230B81CF"/>
    <w:rsid w:val="23E2138D"/>
    <w:rsid w:val="2428BEF3"/>
    <w:rsid w:val="267F66AD"/>
    <w:rsid w:val="29469D73"/>
    <w:rsid w:val="2A715194"/>
    <w:rsid w:val="2A73AAA6"/>
    <w:rsid w:val="2B0EBB5E"/>
    <w:rsid w:val="2BA4A8A3"/>
    <w:rsid w:val="2CD429CD"/>
    <w:rsid w:val="2D50A015"/>
    <w:rsid w:val="2F17E4D0"/>
    <w:rsid w:val="2FAEADF6"/>
    <w:rsid w:val="304D6ED6"/>
    <w:rsid w:val="308D6C3A"/>
    <w:rsid w:val="30F8D87C"/>
    <w:rsid w:val="315FB99C"/>
    <w:rsid w:val="317704BB"/>
    <w:rsid w:val="31D8FB45"/>
    <w:rsid w:val="3217B469"/>
    <w:rsid w:val="3255A52A"/>
    <w:rsid w:val="33B9A0CA"/>
    <w:rsid w:val="345DB0F9"/>
    <w:rsid w:val="34B53EC2"/>
    <w:rsid w:val="34C5604E"/>
    <w:rsid w:val="37DDCFAB"/>
    <w:rsid w:val="38F65920"/>
    <w:rsid w:val="394863FC"/>
    <w:rsid w:val="39DFD5D1"/>
    <w:rsid w:val="3AE80C35"/>
    <w:rsid w:val="3D7AB38D"/>
    <w:rsid w:val="3E78A7FC"/>
    <w:rsid w:val="40112442"/>
    <w:rsid w:val="402FA025"/>
    <w:rsid w:val="4096942F"/>
    <w:rsid w:val="420F3031"/>
    <w:rsid w:val="4485846C"/>
    <w:rsid w:val="451259B1"/>
    <w:rsid w:val="45DFA99D"/>
    <w:rsid w:val="4791A4C6"/>
    <w:rsid w:val="481909BB"/>
    <w:rsid w:val="488FF796"/>
    <w:rsid w:val="4917B08C"/>
    <w:rsid w:val="4A8BC4E9"/>
    <w:rsid w:val="4AF20B11"/>
    <w:rsid w:val="4B0868B0"/>
    <w:rsid w:val="4E5173C3"/>
    <w:rsid w:val="4EBB83DA"/>
    <w:rsid w:val="4F5AAFB4"/>
    <w:rsid w:val="50E8CA66"/>
    <w:rsid w:val="520760C3"/>
    <w:rsid w:val="5265597C"/>
    <w:rsid w:val="52C02DB2"/>
    <w:rsid w:val="5365BE8D"/>
    <w:rsid w:val="539CA940"/>
    <w:rsid w:val="5521778F"/>
    <w:rsid w:val="55385F62"/>
    <w:rsid w:val="560C0614"/>
    <w:rsid w:val="57F11A40"/>
    <w:rsid w:val="5956A7EA"/>
    <w:rsid w:val="5984156F"/>
    <w:rsid w:val="5ACBCC57"/>
    <w:rsid w:val="5BCE150D"/>
    <w:rsid w:val="5DE61A20"/>
    <w:rsid w:val="5E54B6F1"/>
    <w:rsid w:val="5E65E4BD"/>
    <w:rsid w:val="5F013020"/>
    <w:rsid w:val="5F972873"/>
    <w:rsid w:val="61BD4EFC"/>
    <w:rsid w:val="632D0664"/>
    <w:rsid w:val="65DC4E0F"/>
    <w:rsid w:val="67EF8947"/>
    <w:rsid w:val="6930C529"/>
    <w:rsid w:val="696A3CDA"/>
    <w:rsid w:val="6993D675"/>
    <w:rsid w:val="6A17B167"/>
    <w:rsid w:val="6AB16FF5"/>
    <w:rsid w:val="6BA1CD42"/>
    <w:rsid w:val="6D60CEA3"/>
    <w:rsid w:val="6D759B85"/>
    <w:rsid w:val="6DE74B17"/>
    <w:rsid w:val="6E53B476"/>
    <w:rsid w:val="6E61D182"/>
    <w:rsid w:val="70C75EF2"/>
    <w:rsid w:val="713BEB58"/>
    <w:rsid w:val="731F9043"/>
    <w:rsid w:val="734DB929"/>
    <w:rsid w:val="73C06A77"/>
    <w:rsid w:val="73EEEC58"/>
    <w:rsid w:val="753906E3"/>
    <w:rsid w:val="7581FF9B"/>
    <w:rsid w:val="77F133DA"/>
    <w:rsid w:val="794BFFA5"/>
    <w:rsid w:val="7B14CF38"/>
    <w:rsid w:val="7B611093"/>
    <w:rsid w:val="7C41B97D"/>
    <w:rsid w:val="7E40D6B0"/>
    <w:rsid w:val="7F75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48482267"/>
  <w15:chartTrackingRefBased/>
  <w15:docId w15:val="{8CB6562B-A0E7-4FE0-9A33-4857817C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439"/>
    <w:pPr>
      <w:pBdr>
        <w:bar w:val="single" w:sz="4" w:color="000000"/>
      </w:pBdr>
      <w:spacing w:after="120" w:line="336" w:lineRule="auto"/>
    </w:pPr>
    <w:rPr>
      <w:rFonts w:ascii="Arial Nova" w:eastAsia="Arial Nova" w:hAnsi="Arial Nova" w:cs="Arial Nova"/>
      <w:sz w:val="21"/>
      <w:szCs w:val="21"/>
      <w:lang w:eastAsia="es-ES"/>
    </w:rPr>
  </w:style>
  <w:style w:type="paragraph" w:styleId="Ttulo1">
    <w:name w:val="heading 1"/>
    <w:basedOn w:val="Normal"/>
    <w:next w:val="Normal"/>
    <w:uiPriority w:val="9"/>
    <w:qFormat/>
    <w:rsid w:val="00DE2EB6"/>
    <w:pPr>
      <w:spacing w:after="360" w:line="216" w:lineRule="auto"/>
      <w:outlineLvl w:val="0"/>
    </w:pPr>
    <w:rPr>
      <w:rFonts w:ascii="Arial Nova Cond" w:eastAsia="Arial Nova Cond" w:hAnsi="Arial Nova Cond" w:cs="Arial Nova Cond"/>
      <w:b/>
      <w:bCs/>
      <w:color w:val="F18302"/>
      <w:sz w:val="52"/>
      <w:szCs w:val="52"/>
    </w:rPr>
  </w:style>
  <w:style w:type="paragraph" w:styleId="Ttulo2">
    <w:name w:val="heading 2"/>
    <w:basedOn w:val="Ttulo1"/>
    <w:next w:val="Normal"/>
    <w:uiPriority w:val="9"/>
    <w:unhideWhenUsed/>
    <w:qFormat/>
    <w:rsid w:val="00C73BE4"/>
    <w:pPr>
      <w:spacing w:after="240" w:line="310" w:lineRule="exact"/>
      <w:outlineLvl w:val="1"/>
    </w:pPr>
    <w:rPr>
      <w:rFonts w:eastAsiaTheme="minorEastAsia" w:cstheme="minorBidi"/>
      <w:color w:val="000000" w:themeColor="text1"/>
      <w:sz w:val="36"/>
      <w:szCs w:val="36"/>
    </w:rPr>
  </w:style>
  <w:style w:type="paragraph" w:styleId="Ttulo3">
    <w:name w:val="heading 3"/>
    <w:basedOn w:val="Ttulo2"/>
    <w:next w:val="Normal"/>
    <w:uiPriority w:val="9"/>
    <w:unhideWhenUsed/>
    <w:qFormat/>
    <w:rsid w:val="00845439"/>
    <w:pPr>
      <w:spacing w:before="240"/>
      <w:outlineLvl w:val="2"/>
    </w:pPr>
    <w:rPr>
      <w:color w:val="F1830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20102"/>
    <w:pPr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5E65E4BD"/>
    <w:pPr>
      <w:tabs>
        <w:tab w:val="center" w:pos="4252"/>
        <w:tab w:val="right" w:pos="8504"/>
      </w:tabs>
      <w:spacing w:after="0" w:line="240" w:lineRule="auto"/>
    </w:pPr>
    <w:rPr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226C9"/>
  </w:style>
  <w:style w:type="paragraph" w:styleId="Piedepgina">
    <w:name w:val="footer"/>
    <w:basedOn w:val="Normal"/>
    <w:link w:val="PiedepginaCar"/>
    <w:uiPriority w:val="99"/>
    <w:unhideWhenUsed/>
    <w:rsid w:val="5E65E4BD"/>
    <w:pPr>
      <w:tabs>
        <w:tab w:val="center" w:pos="4252"/>
        <w:tab w:val="right" w:pos="8504"/>
      </w:tabs>
      <w:spacing w:after="0" w:line="240" w:lineRule="auto"/>
    </w:pPr>
    <w:rPr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226C9"/>
  </w:style>
  <w:style w:type="paragraph" w:styleId="Textodeglobo">
    <w:name w:val="Balloon Text"/>
    <w:basedOn w:val="Normal"/>
    <w:link w:val="TextodegloboCar"/>
    <w:uiPriority w:val="99"/>
    <w:semiHidden/>
    <w:unhideWhenUsed/>
    <w:rsid w:val="5E65E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EE0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320102"/>
    <w:pPr>
      <w:numPr>
        <w:numId w:val="21"/>
      </w:numPr>
      <w:contextualSpacing/>
    </w:pPr>
  </w:style>
  <w:style w:type="character" w:styleId="Hipervnculo">
    <w:name w:val="Hyperlink"/>
    <w:rsid w:val="00865B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5E65E4B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lementtoproof">
    <w:name w:val="elementtoproof"/>
    <w:basedOn w:val="Normal"/>
    <w:uiPriority w:val="1"/>
    <w:rsid w:val="5E65E4BD"/>
    <w:pPr>
      <w:spacing w:after="0" w:line="240" w:lineRule="auto"/>
    </w:pPr>
    <w:rPr>
      <w:rFonts w:eastAsiaTheme="minorEastAsia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67CC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632D0664"/>
    <w:pPr>
      <w:spacing w:after="0" w:line="310" w:lineRule="exact"/>
    </w:pPr>
    <w:rPr>
      <w:rFonts w:ascii="Arial Nova" w:eastAsia="Arial Nova" w:hAnsi="Arial Nova" w:cs="Arial Nova"/>
      <w:noProof/>
    </w:rPr>
  </w:style>
  <w:style w:type="paragraph" w:styleId="TDC1">
    <w:name w:val="toc 1"/>
    <w:basedOn w:val="Normal"/>
    <w:next w:val="Normal"/>
    <w:uiPriority w:val="39"/>
    <w:unhideWhenUsed/>
    <w:rsid w:val="5E65E4BD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Cuadrculadetablaclara">
    <w:name w:val="Grid Table Light"/>
    <w:basedOn w:val="Tabla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4Car">
    <w:name w:val="Título 4 Car"/>
    <w:basedOn w:val="Fuentedeprrafopredeter"/>
    <w:link w:val="Ttulo4"/>
    <w:uiPriority w:val="9"/>
    <w:rsid w:val="00320102"/>
    <w:rPr>
      <w:rFonts w:ascii="Arial Nova" w:eastAsia="Arial Nova" w:hAnsi="Arial Nova" w:cs="Arial Nova"/>
      <w:b/>
      <w:bCs/>
      <w:noProof/>
      <w:sz w:val="21"/>
      <w:szCs w:val="21"/>
      <w:lang w:eastAsia="es-ES"/>
    </w:rPr>
  </w:style>
  <w:style w:type="paragraph" w:styleId="Puesto">
    <w:name w:val="Title"/>
    <w:basedOn w:val="Ttulo1"/>
    <w:next w:val="Normal"/>
    <w:uiPriority w:val="10"/>
    <w:qFormat/>
    <w:rsid w:val="632D0664"/>
    <w:rPr>
      <w:b w:val="0"/>
      <w:bCs w:val="0"/>
      <w:sz w:val="90"/>
      <w:szCs w:val="90"/>
    </w:rPr>
  </w:style>
  <w:style w:type="paragraph" w:styleId="Subttulo">
    <w:name w:val="Subtitle"/>
    <w:basedOn w:val="Ttulo3"/>
    <w:next w:val="Normal"/>
    <w:uiPriority w:val="11"/>
    <w:qFormat/>
    <w:rsid w:val="29469D73"/>
    <w:pPr>
      <w:spacing w:after="160"/>
    </w:pPr>
  </w:style>
  <w:style w:type="paragraph" w:styleId="Cita">
    <w:name w:val="Quote"/>
    <w:basedOn w:val="Normal"/>
    <w:next w:val="Normal"/>
    <w:link w:val="CitaCar"/>
    <w:uiPriority w:val="29"/>
    <w:qFormat/>
    <w:rsid w:val="0032010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20102"/>
    <w:rPr>
      <w:rFonts w:ascii="Arial Nova" w:eastAsia="Arial Nova" w:hAnsi="Arial Nova" w:cs="Arial Nova"/>
      <w:i/>
      <w:iCs/>
      <w:noProof/>
      <w:color w:val="404040" w:themeColor="text1" w:themeTint="BF"/>
      <w:sz w:val="21"/>
      <w:szCs w:val="21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8EB0A1790DAE4B884FEE0D0D71C209" ma:contentTypeVersion="12" ma:contentTypeDescription="Crear nuevo documento." ma:contentTypeScope="" ma:versionID="cb448371de7f0516beb2a6499517bc65">
  <xsd:schema xmlns:xsd="http://www.w3.org/2001/XMLSchema" xmlns:xs="http://www.w3.org/2001/XMLSchema" xmlns:p="http://schemas.microsoft.com/office/2006/metadata/properties" xmlns:ns2="eb9eef38-405a-4693-b03d-6217aca0b377" xmlns:ns3="6ebe0cf7-a3f7-4d66-b0b8-be61f3baa2e3" targetNamespace="http://schemas.microsoft.com/office/2006/metadata/properties" ma:root="true" ma:fieldsID="8731f2337c90c05dcee50856dbef6d5a" ns2:_="" ns3:_="">
    <xsd:import namespace="eb9eef38-405a-4693-b03d-6217aca0b377"/>
    <xsd:import namespace="6ebe0cf7-a3f7-4d66-b0b8-be61f3baa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eef38-405a-4693-b03d-6217aca0b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a108e8d9-808b-445d-9b35-4ccd2df4e5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e0cf7-a3f7-4d66-b0b8-be61f3baa2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563ff1f-3551-4b7f-8ee8-b06312ce5e09}" ma:internalName="TaxCatchAll" ma:showField="CatchAllData" ma:web="6ebe0cf7-a3f7-4d66-b0b8-be61f3baa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9eef38-405a-4693-b03d-6217aca0b377">
      <Terms xmlns="http://schemas.microsoft.com/office/infopath/2007/PartnerControls"/>
    </lcf76f155ced4ddcb4097134ff3c332f>
    <TaxCatchAll xmlns="6ebe0cf7-a3f7-4d66-b0b8-be61f3baa2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90559-6D91-44BE-932B-19715072A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9eef38-405a-4693-b03d-6217aca0b377"/>
    <ds:schemaRef ds:uri="6ebe0cf7-a3f7-4d66-b0b8-be61f3baa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26A65B-FF58-4BC4-B694-6271A1EABE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14F83-1DD7-406A-8E48-AD0F7F5465D8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eb9eef38-405a-4693-b03d-6217aca0b377"/>
    <ds:schemaRef ds:uri="http://schemas.microsoft.com/office/infopath/2007/PartnerControls"/>
    <ds:schemaRef ds:uri="6ebe0cf7-a3f7-4d66-b0b8-be61f3baa2e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C29D39-92B3-4E42-A5EF-33BEF84C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PLANAS</dc:creator>
  <cp:keywords/>
  <dc:description/>
  <cp:lastModifiedBy>Cristina Yague</cp:lastModifiedBy>
  <cp:revision>4</cp:revision>
  <cp:lastPrinted>2026-08-10T08:14:00Z</cp:lastPrinted>
  <dcterms:created xsi:type="dcterms:W3CDTF">2026-08-05T09:28:00Z</dcterms:created>
  <dcterms:modified xsi:type="dcterms:W3CDTF">2026-08-10T08:14:00Z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0x0101003E8EB0A1790DAE4B884FEE0D0D71C209</vt:lpwstr>
  </property>
  <property fmtid="{D5CDD505-2E9C-101B-9397-08002B2CF9AE}" pid="3" name="MediaServiceImageTags">
    <vt:lpwstr/>
  </property>
</Properties>
</file>